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0D" w:rsidRPr="00385F8A" w:rsidRDefault="00192853" w:rsidP="00192853">
      <w:pPr>
        <w:pStyle w:val="Procnumber"/>
        <w:rPr>
          <w:rFonts w:ascii="Arial" w:hAnsi="Arial"/>
          <w:b/>
          <w:bCs w:val="0"/>
          <w:spacing w:val="0"/>
          <w:sz w:val="72"/>
        </w:rPr>
      </w:pPr>
      <w:r w:rsidRPr="00385F8A">
        <w:rPr>
          <w:rFonts w:ascii="Arial" w:hAnsi="Arial"/>
          <w:b/>
          <w:bCs w:val="0"/>
          <w:noProof/>
          <w:spacing w:val="0"/>
          <w:sz w:val="72"/>
        </w:rPr>
        <w:drawing>
          <wp:anchor distT="0" distB="0" distL="114300" distR="114300" simplePos="0" relativeHeight="251659264" behindDoc="0" locked="0" layoutInCell="1" allowOverlap="1">
            <wp:simplePos x="0" y="0"/>
            <wp:positionH relativeFrom="column">
              <wp:posOffset>2043661</wp:posOffset>
            </wp:positionH>
            <wp:positionV relativeFrom="paragraph">
              <wp:posOffset>66686</wp:posOffset>
            </wp:positionV>
            <wp:extent cx="1447800" cy="743678"/>
            <wp:effectExtent l="19050" t="0" r="0" b="0"/>
            <wp:wrapNone/>
            <wp:docPr id="9" name="Picture 9"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 Government"/>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447800" cy="743678"/>
                    </a:xfrm>
                    <a:prstGeom prst="rect">
                      <a:avLst/>
                    </a:prstGeom>
                    <a:noFill/>
                    <a:ln w="9525">
                      <a:noFill/>
                      <a:miter lim="800000"/>
                      <a:headEnd/>
                      <a:tailEnd/>
                    </a:ln>
                  </pic:spPr>
                </pic:pic>
              </a:graphicData>
            </a:graphic>
          </wp:anchor>
        </w:drawing>
      </w:r>
      <w:bookmarkStart w:id="0" w:name="DocumentTitle"/>
    </w:p>
    <w:p w:rsidR="00F8750D" w:rsidRPr="00F4361A" w:rsidRDefault="00F8750D" w:rsidP="00F4361A">
      <w:pPr>
        <w:pStyle w:val="Title"/>
      </w:pPr>
      <w:r w:rsidRPr="00F4361A">
        <w:t xml:space="preserve">Proactive </w:t>
      </w:r>
      <w:bookmarkEnd w:id="0"/>
      <w:r w:rsidRPr="00F4361A">
        <w:t xml:space="preserve">Release of Data </w:t>
      </w:r>
    </w:p>
    <w:p w:rsidR="00F8750D" w:rsidRPr="00F4361A" w:rsidRDefault="00F8750D" w:rsidP="00F4361A">
      <w:pPr>
        <w:pStyle w:val="Title"/>
      </w:pPr>
      <w:r w:rsidRPr="00F4361A">
        <w:t>(Open Data)</w:t>
      </w:r>
    </w:p>
    <w:p w:rsidR="00F8750D" w:rsidRPr="00F4361A" w:rsidRDefault="00F8750D" w:rsidP="00F4361A">
      <w:pPr>
        <w:pStyle w:val="Title"/>
      </w:pPr>
      <w:r w:rsidRPr="00F4361A">
        <w:t>Policy</w:t>
      </w:r>
    </w:p>
    <w:p w:rsidR="00F8750D" w:rsidRPr="00385F8A" w:rsidRDefault="00F8750D" w:rsidP="00F8750D">
      <w:pPr>
        <w:pStyle w:val="DocumentVersionnumber"/>
        <w:spacing w:before="1560"/>
        <w:rPr>
          <w:rFonts w:ascii="Arial" w:hAnsi="Arial" w:cs="Arial"/>
        </w:rPr>
      </w:pPr>
      <w:r w:rsidRPr="00385F8A">
        <w:rPr>
          <w:rFonts w:ascii="Arial" w:hAnsi="Arial" w:cs="Arial"/>
        </w:rPr>
        <w:t>Version</w:t>
      </w:r>
      <w:bookmarkStart w:id="1" w:name="VersionNumber"/>
      <w:r w:rsidRPr="00385F8A">
        <w:rPr>
          <w:rFonts w:ascii="Arial" w:hAnsi="Arial" w:cs="Arial"/>
        </w:rPr>
        <w:t xml:space="preserve"> </w:t>
      </w:r>
      <w:bookmarkEnd w:id="1"/>
      <w:r w:rsidR="00462D0F" w:rsidRPr="00385F8A">
        <w:rPr>
          <w:rFonts w:ascii="Arial" w:hAnsi="Arial" w:cs="Arial"/>
        </w:rPr>
        <w:t>2.0</w:t>
      </w:r>
    </w:p>
    <w:p w:rsidR="00F8750D" w:rsidRPr="00385F8A" w:rsidRDefault="00F8750D" w:rsidP="00F8750D">
      <w:pPr>
        <w:pStyle w:val="DocumentVersionnumber"/>
        <w:spacing w:before="240" w:after="600"/>
        <w:rPr>
          <w:rFonts w:ascii="Arial" w:hAnsi="Arial" w:cs="Arial"/>
        </w:rPr>
      </w:pPr>
      <w:bookmarkStart w:id="2" w:name="IssueDate"/>
      <w:r w:rsidRPr="00385F8A">
        <w:rPr>
          <w:rStyle w:val="IssueDate"/>
          <w:rFonts w:ascii="Arial" w:hAnsi="Arial" w:cs="Arial"/>
        </w:rPr>
        <w:t xml:space="preserve"> </w:t>
      </w:r>
      <w:bookmarkEnd w:id="2"/>
      <w:r w:rsidR="006B7B84" w:rsidRPr="00385F8A">
        <w:rPr>
          <w:rStyle w:val="IssueDate"/>
          <w:rFonts w:ascii="Arial" w:hAnsi="Arial" w:cs="Arial"/>
        </w:rPr>
        <w:t>December</w:t>
      </w:r>
      <w:r w:rsidRPr="00385F8A">
        <w:rPr>
          <w:rStyle w:val="IssueDate"/>
          <w:rFonts w:ascii="Arial" w:hAnsi="Arial" w:cs="Arial"/>
        </w:rPr>
        <w:t xml:space="preserve"> 201</w:t>
      </w:r>
      <w:bookmarkStart w:id="3" w:name="_Toc357607809"/>
      <w:bookmarkStart w:id="4" w:name="_Toc410367648"/>
      <w:bookmarkEnd w:id="3"/>
      <w:bookmarkEnd w:id="4"/>
      <w:r w:rsidR="006B7B84" w:rsidRPr="00385F8A">
        <w:rPr>
          <w:rStyle w:val="IssueDate"/>
          <w:rFonts w:ascii="Arial" w:hAnsi="Arial" w:cs="Arial"/>
        </w:rPr>
        <w:t>5</w:t>
      </w:r>
    </w:p>
    <w:p w:rsidR="00F8750D" w:rsidRDefault="00F8750D" w:rsidP="00F4361A">
      <w:pPr>
        <w:pStyle w:val="Heading2"/>
        <w:numPr>
          <w:ilvl w:val="0"/>
          <w:numId w:val="0"/>
        </w:numPr>
        <w:ind w:left="680" w:hanging="680"/>
      </w:pPr>
    </w:p>
    <w:p w:rsidR="00192853" w:rsidRPr="00192853" w:rsidRDefault="00192853" w:rsidP="00192853">
      <w:pPr>
        <w:pStyle w:val="BodyText"/>
      </w:pPr>
    </w:p>
    <w:p w:rsidR="00F8750D" w:rsidRPr="00451D1B" w:rsidRDefault="00F8750D" w:rsidP="00462D0F">
      <w:pPr>
        <w:jc w:val="center"/>
        <w:sectPr w:rsidR="00F8750D" w:rsidRPr="00451D1B">
          <w:headerReference w:type="default" r:id="rId13"/>
          <w:footerReference w:type="default" r:id="rId14"/>
          <w:headerReference w:type="first" r:id="rId15"/>
          <w:footerReference w:type="first" r:id="rId16"/>
          <w:pgSz w:w="11906" w:h="16838" w:code="9"/>
          <w:pgMar w:top="1418" w:right="1418" w:bottom="1418" w:left="1418" w:header="680" w:footer="680" w:gutter="0"/>
          <w:cols w:space="720"/>
        </w:sectPr>
      </w:pPr>
      <w:r>
        <w:rPr>
          <w:noProof/>
        </w:rPr>
        <w:drawing>
          <wp:inline distT="0" distB="0" distL="0" distR="0">
            <wp:extent cx="866775" cy="303264"/>
            <wp:effectExtent l="0" t="0" r="0" b="1905"/>
            <wp:docPr id="2" name="Picture 1" descr="Image of the Creative Commons Licence which allows users to distribute, remix and build upon a work, and create Derivative Works – even for commercial use – provided they credit the original creator/s (and any other nominated pa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png"/>
                    <pic:cNvPicPr>
                      <a:picLocks noChangeAspect="1" noChangeArrowheads="1"/>
                    </pic:cNvPicPr>
                  </pic:nvPicPr>
                  <pic:blipFill>
                    <a:blip r:embed="rId17" cstate="print"/>
                    <a:srcRect/>
                    <a:stretch>
                      <a:fillRect/>
                    </a:stretch>
                  </pic:blipFill>
                  <pic:spPr bwMode="auto">
                    <a:xfrm>
                      <a:off x="0" y="0"/>
                      <a:ext cx="866775" cy="303264"/>
                    </a:xfrm>
                    <a:prstGeom prst="rect">
                      <a:avLst/>
                    </a:prstGeom>
                    <a:noFill/>
                    <a:ln w="9525">
                      <a:noFill/>
                      <a:miter lim="800000"/>
                      <a:headEnd/>
                      <a:tailEnd/>
                    </a:ln>
                  </pic:spPr>
                </pic:pic>
              </a:graphicData>
            </a:graphic>
          </wp:inline>
        </w:drawing>
      </w:r>
    </w:p>
    <w:p w:rsidR="00F8750D" w:rsidRPr="00E122E7" w:rsidRDefault="00F8750D" w:rsidP="00BF1D3F">
      <w:pPr>
        <w:pStyle w:val="MetaHeading"/>
      </w:pPr>
      <w:bookmarkStart w:id="5" w:name="_Toc449418504"/>
      <w:r w:rsidRPr="00E122E7">
        <w:lastRenderedPageBreak/>
        <w:t>Contents</w:t>
      </w:r>
    </w:p>
    <w:p w:rsidR="005A7680" w:rsidRDefault="009D6D85">
      <w:pPr>
        <w:pStyle w:val="TOC1"/>
        <w:rPr>
          <w:rFonts w:eastAsiaTheme="minorEastAsia" w:cstheme="minorBidi"/>
          <w:noProof/>
          <w:szCs w:val="22"/>
        </w:rPr>
      </w:pPr>
      <w:r w:rsidRPr="009D6D85">
        <w:rPr>
          <w:rFonts w:ascii="Verdana" w:hAnsi="Verdana"/>
          <w:b/>
          <w:color w:val="000000"/>
        </w:rPr>
        <w:fldChar w:fldCharType="begin"/>
      </w:r>
      <w:r w:rsidR="00F8750D">
        <w:rPr>
          <w:b/>
          <w:color w:val="000000"/>
        </w:rPr>
        <w:instrText xml:space="preserve"> TOC \o "1-3" </w:instrText>
      </w:r>
      <w:r w:rsidRPr="009D6D85">
        <w:rPr>
          <w:rFonts w:ascii="Verdana" w:hAnsi="Verdana"/>
          <w:b/>
          <w:color w:val="000000"/>
        </w:rPr>
        <w:fldChar w:fldCharType="separate"/>
      </w:r>
      <w:r w:rsidR="005A7680">
        <w:rPr>
          <w:noProof/>
        </w:rPr>
        <w:t>Preamble</w:t>
      </w:r>
      <w:r w:rsidR="005A7680">
        <w:rPr>
          <w:noProof/>
        </w:rPr>
        <w:tab/>
      </w:r>
      <w:r>
        <w:rPr>
          <w:noProof/>
        </w:rPr>
        <w:fldChar w:fldCharType="begin"/>
      </w:r>
      <w:r w:rsidR="005A7680">
        <w:rPr>
          <w:noProof/>
        </w:rPr>
        <w:instrText xml:space="preserve"> PAGEREF _Toc450139396 \h </w:instrText>
      </w:r>
      <w:r>
        <w:rPr>
          <w:noProof/>
        </w:rPr>
      </w:r>
      <w:r>
        <w:rPr>
          <w:noProof/>
        </w:rPr>
        <w:fldChar w:fldCharType="separate"/>
      </w:r>
      <w:r w:rsidR="005A7680">
        <w:rPr>
          <w:noProof/>
        </w:rPr>
        <w:t>3</w:t>
      </w:r>
      <w:r>
        <w:rPr>
          <w:noProof/>
        </w:rPr>
        <w:fldChar w:fldCharType="end"/>
      </w:r>
    </w:p>
    <w:p w:rsidR="005A7680" w:rsidRDefault="005A7680">
      <w:pPr>
        <w:pStyle w:val="TOC1"/>
        <w:rPr>
          <w:rFonts w:eastAsiaTheme="minorEastAsia" w:cstheme="minorBidi"/>
          <w:noProof/>
          <w:szCs w:val="22"/>
        </w:rPr>
      </w:pPr>
      <w:r>
        <w:rPr>
          <w:noProof/>
        </w:rPr>
        <w:t>Introduction</w:t>
      </w:r>
      <w:r>
        <w:rPr>
          <w:noProof/>
        </w:rPr>
        <w:tab/>
      </w:r>
      <w:r w:rsidR="009D6D85">
        <w:rPr>
          <w:noProof/>
        </w:rPr>
        <w:fldChar w:fldCharType="begin"/>
      </w:r>
      <w:r>
        <w:rPr>
          <w:noProof/>
        </w:rPr>
        <w:instrText xml:space="preserve"> PAGEREF _Toc450139397 \h </w:instrText>
      </w:r>
      <w:r w:rsidR="009D6D85">
        <w:rPr>
          <w:noProof/>
        </w:rPr>
      </w:r>
      <w:r w:rsidR="009D6D85">
        <w:rPr>
          <w:noProof/>
        </w:rPr>
        <w:fldChar w:fldCharType="separate"/>
      </w:r>
      <w:r>
        <w:rPr>
          <w:noProof/>
        </w:rPr>
        <w:t>4</w:t>
      </w:r>
      <w:r w:rsidR="009D6D85">
        <w:rPr>
          <w:noProof/>
        </w:rPr>
        <w:fldChar w:fldCharType="end"/>
      </w:r>
    </w:p>
    <w:p w:rsidR="005A7680" w:rsidRDefault="005A7680">
      <w:pPr>
        <w:pStyle w:val="TOC2"/>
        <w:rPr>
          <w:rFonts w:eastAsiaTheme="minorEastAsia" w:cstheme="minorBidi"/>
          <w:noProof/>
          <w:sz w:val="22"/>
          <w:szCs w:val="22"/>
        </w:rPr>
      </w:pPr>
      <w:r>
        <w:rPr>
          <w:noProof/>
        </w:rPr>
        <w:t>1.</w:t>
      </w:r>
      <w:r>
        <w:rPr>
          <w:rFonts w:eastAsiaTheme="minorEastAsia" w:cstheme="minorBidi"/>
          <w:noProof/>
          <w:sz w:val="22"/>
          <w:szCs w:val="22"/>
        </w:rPr>
        <w:tab/>
      </w:r>
      <w:r>
        <w:rPr>
          <w:noProof/>
        </w:rPr>
        <w:t>Purpose</w:t>
      </w:r>
      <w:r>
        <w:rPr>
          <w:noProof/>
        </w:rPr>
        <w:tab/>
      </w:r>
      <w:r w:rsidR="009D6D85">
        <w:rPr>
          <w:noProof/>
        </w:rPr>
        <w:fldChar w:fldCharType="begin"/>
      </w:r>
      <w:r>
        <w:rPr>
          <w:noProof/>
        </w:rPr>
        <w:instrText xml:space="preserve"> PAGEREF _Toc450139398 \h </w:instrText>
      </w:r>
      <w:r w:rsidR="009D6D85">
        <w:rPr>
          <w:noProof/>
        </w:rPr>
      </w:r>
      <w:r w:rsidR="009D6D85">
        <w:rPr>
          <w:noProof/>
        </w:rPr>
        <w:fldChar w:fldCharType="separate"/>
      </w:r>
      <w:r>
        <w:rPr>
          <w:noProof/>
        </w:rPr>
        <w:t>4</w:t>
      </w:r>
      <w:r w:rsidR="009D6D85">
        <w:rPr>
          <w:noProof/>
        </w:rPr>
        <w:fldChar w:fldCharType="end"/>
      </w:r>
    </w:p>
    <w:p w:rsidR="005A7680" w:rsidRDefault="005A7680">
      <w:pPr>
        <w:pStyle w:val="TOC2"/>
        <w:rPr>
          <w:rFonts w:eastAsiaTheme="minorEastAsia" w:cstheme="minorBidi"/>
          <w:noProof/>
          <w:sz w:val="22"/>
          <w:szCs w:val="22"/>
        </w:rPr>
      </w:pPr>
      <w:r>
        <w:rPr>
          <w:noProof/>
        </w:rPr>
        <w:t>2.</w:t>
      </w:r>
      <w:r>
        <w:rPr>
          <w:rFonts w:eastAsiaTheme="minorEastAsia" w:cstheme="minorBidi"/>
          <w:noProof/>
          <w:sz w:val="22"/>
          <w:szCs w:val="22"/>
        </w:rPr>
        <w:tab/>
      </w:r>
      <w:r>
        <w:rPr>
          <w:noProof/>
        </w:rPr>
        <w:t>Scope</w:t>
      </w:r>
      <w:r>
        <w:rPr>
          <w:noProof/>
        </w:rPr>
        <w:tab/>
      </w:r>
      <w:r w:rsidR="009D6D85">
        <w:rPr>
          <w:noProof/>
        </w:rPr>
        <w:fldChar w:fldCharType="begin"/>
      </w:r>
      <w:r>
        <w:rPr>
          <w:noProof/>
        </w:rPr>
        <w:instrText xml:space="preserve"> PAGEREF _Toc450139399 \h </w:instrText>
      </w:r>
      <w:r w:rsidR="009D6D85">
        <w:rPr>
          <w:noProof/>
        </w:rPr>
      </w:r>
      <w:r w:rsidR="009D6D85">
        <w:rPr>
          <w:noProof/>
        </w:rPr>
        <w:fldChar w:fldCharType="separate"/>
      </w:r>
      <w:r>
        <w:rPr>
          <w:noProof/>
        </w:rPr>
        <w:t>4</w:t>
      </w:r>
      <w:r w:rsidR="009D6D85">
        <w:rPr>
          <w:noProof/>
        </w:rPr>
        <w:fldChar w:fldCharType="end"/>
      </w:r>
    </w:p>
    <w:p w:rsidR="005A7680" w:rsidRDefault="005A7680">
      <w:pPr>
        <w:pStyle w:val="TOC1"/>
        <w:rPr>
          <w:rFonts w:eastAsiaTheme="minorEastAsia" w:cstheme="minorBidi"/>
          <w:noProof/>
          <w:szCs w:val="22"/>
        </w:rPr>
      </w:pPr>
      <w:r>
        <w:rPr>
          <w:noProof/>
        </w:rPr>
        <w:t>Policy</w:t>
      </w:r>
      <w:r>
        <w:rPr>
          <w:noProof/>
        </w:rPr>
        <w:tab/>
      </w:r>
      <w:r w:rsidR="009D6D85">
        <w:rPr>
          <w:noProof/>
        </w:rPr>
        <w:fldChar w:fldCharType="begin"/>
      </w:r>
      <w:r>
        <w:rPr>
          <w:noProof/>
        </w:rPr>
        <w:instrText xml:space="preserve"> PAGEREF _Toc450139400 \h </w:instrText>
      </w:r>
      <w:r w:rsidR="009D6D85">
        <w:rPr>
          <w:noProof/>
        </w:rPr>
      </w:r>
      <w:r w:rsidR="009D6D85">
        <w:rPr>
          <w:noProof/>
        </w:rPr>
        <w:fldChar w:fldCharType="separate"/>
      </w:r>
      <w:r>
        <w:rPr>
          <w:noProof/>
        </w:rPr>
        <w:t>4</w:t>
      </w:r>
      <w:r w:rsidR="009D6D85">
        <w:rPr>
          <w:noProof/>
        </w:rPr>
        <w:fldChar w:fldCharType="end"/>
      </w:r>
    </w:p>
    <w:p w:rsidR="005A7680" w:rsidRDefault="005A7680">
      <w:pPr>
        <w:pStyle w:val="TOC2"/>
        <w:rPr>
          <w:rFonts w:eastAsiaTheme="minorEastAsia" w:cstheme="minorBidi"/>
          <w:noProof/>
          <w:sz w:val="22"/>
          <w:szCs w:val="22"/>
        </w:rPr>
      </w:pPr>
      <w:r>
        <w:rPr>
          <w:noProof/>
        </w:rPr>
        <w:t>3.</w:t>
      </w:r>
      <w:r>
        <w:rPr>
          <w:rFonts w:eastAsiaTheme="minorEastAsia" w:cstheme="minorBidi"/>
          <w:noProof/>
          <w:sz w:val="22"/>
          <w:szCs w:val="22"/>
        </w:rPr>
        <w:tab/>
      </w:r>
      <w:r>
        <w:rPr>
          <w:noProof/>
        </w:rPr>
        <w:t>Principles</w:t>
      </w:r>
      <w:r>
        <w:rPr>
          <w:noProof/>
        </w:rPr>
        <w:tab/>
      </w:r>
      <w:r w:rsidR="009D6D85">
        <w:rPr>
          <w:noProof/>
        </w:rPr>
        <w:fldChar w:fldCharType="begin"/>
      </w:r>
      <w:r>
        <w:rPr>
          <w:noProof/>
        </w:rPr>
        <w:instrText xml:space="preserve"> PAGEREF _Toc450139401 \h </w:instrText>
      </w:r>
      <w:r w:rsidR="009D6D85">
        <w:rPr>
          <w:noProof/>
        </w:rPr>
      </w:r>
      <w:r w:rsidR="009D6D85">
        <w:rPr>
          <w:noProof/>
        </w:rPr>
        <w:fldChar w:fldCharType="separate"/>
      </w:r>
      <w:r>
        <w:rPr>
          <w:noProof/>
        </w:rPr>
        <w:t>4</w:t>
      </w:r>
      <w:r w:rsidR="009D6D85">
        <w:rPr>
          <w:noProof/>
        </w:rPr>
        <w:fldChar w:fldCharType="end"/>
      </w:r>
    </w:p>
    <w:p w:rsidR="005A7680" w:rsidRDefault="005A7680">
      <w:pPr>
        <w:pStyle w:val="TOC2"/>
        <w:rPr>
          <w:rFonts w:eastAsiaTheme="minorEastAsia" w:cstheme="minorBidi"/>
          <w:noProof/>
          <w:sz w:val="22"/>
          <w:szCs w:val="22"/>
        </w:rPr>
      </w:pPr>
      <w:r>
        <w:rPr>
          <w:noProof/>
        </w:rPr>
        <w:t>4.</w:t>
      </w:r>
      <w:r>
        <w:rPr>
          <w:rFonts w:eastAsiaTheme="minorEastAsia" w:cstheme="minorBidi"/>
          <w:noProof/>
          <w:sz w:val="22"/>
          <w:szCs w:val="22"/>
        </w:rPr>
        <w:tab/>
      </w:r>
      <w:r>
        <w:rPr>
          <w:noProof/>
        </w:rPr>
        <w:t>Requirements</w:t>
      </w:r>
      <w:r>
        <w:rPr>
          <w:noProof/>
        </w:rPr>
        <w:tab/>
      </w:r>
      <w:r w:rsidR="009D6D85">
        <w:rPr>
          <w:noProof/>
        </w:rPr>
        <w:fldChar w:fldCharType="begin"/>
      </w:r>
      <w:r>
        <w:rPr>
          <w:noProof/>
        </w:rPr>
        <w:instrText xml:space="preserve"> PAGEREF _Toc450139402 \h </w:instrText>
      </w:r>
      <w:r w:rsidR="009D6D85">
        <w:rPr>
          <w:noProof/>
        </w:rPr>
      </w:r>
      <w:r w:rsidR="009D6D85">
        <w:rPr>
          <w:noProof/>
        </w:rPr>
        <w:fldChar w:fldCharType="separate"/>
      </w:r>
      <w:r>
        <w:rPr>
          <w:noProof/>
        </w:rPr>
        <w:t>5</w:t>
      </w:r>
      <w:r w:rsidR="009D6D85">
        <w:rPr>
          <w:noProof/>
        </w:rPr>
        <w:fldChar w:fldCharType="end"/>
      </w:r>
    </w:p>
    <w:p w:rsidR="005A7680" w:rsidRDefault="005A7680">
      <w:pPr>
        <w:pStyle w:val="TOC2"/>
        <w:rPr>
          <w:rFonts w:eastAsiaTheme="minorEastAsia" w:cstheme="minorBidi"/>
          <w:noProof/>
          <w:sz w:val="22"/>
          <w:szCs w:val="22"/>
        </w:rPr>
      </w:pPr>
      <w:r>
        <w:rPr>
          <w:noProof/>
        </w:rPr>
        <w:t>5.</w:t>
      </w:r>
      <w:r>
        <w:rPr>
          <w:rFonts w:eastAsiaTheme="minorEastAsia" w:cstheme="minorBidi"/>
          <w:noProof/>
          <w:sz w:val="22"/>
          <w:szCs w:val="22"/>
        </w:rPr>
        <w:tab/>
      </w:r>
      <w:r>
        <w:rPr>
          <w:noProof/>
        </w:rPr>
        <w:t>Roles and responsibilities</w:t>
      </w:r>
      <w:r>
        <w:rPr>
          <w:noProof/>
        </w:rPr>
        <w:tab/>
      </w:r>
      <w:r w:rsidR="009D6D85">
        <w:rPr>
          <w:noProof/>
        </w:rPr>
        <w:fldChar w:fldCharType="begin"/>
      </w:r>
      <w:r>
        <w:rPr>
          <w:noProof/>
        </w:rPr>
        <w:instrText xml:space="preserve"> PAGEREF _Toc450139403 \h </w:instrText>
      </w:r>
      <w:r w:rsidR="009D6D85">
        <w:rPr>
          <w:noProof/>
        </w:rPr>
      </w:r>
      <w:r w:rsidR="009D6D85">
        <w:rPr>
          <w:noProof/>
        </w:rPr>
        <w:fldChar w:fldCharType="separate"/>
      </w:r>
      <w:r>
        <w:rPr>
          <w:noProof/>
        </w:rPr>
        <w:t>5</w:t>
      </w:r>
      <w:r w:rsidR="009D6D85">
        <w:rPr>
          <w:noProof/>
        </w:rPr>
        <w:fldChar w:fldCharType="end"/>
      </w:r>
    </w:p>
    <w:p w:rsidR="005A7680" w:rsidRDefault="005A7680">
      <w:pPr>
        <w:pStyle w:val="TOC2"/>
        <w:rPr>
          <w:rFonts w:eastAsiaTheme="minorEastAsia" w:cstheme="minorBidi"/>
          <w:noProof/>
          <w:sz w:val="22"/>
          <w:szCs w:val="22"/>
        </w:rPr>
      </w:pPr>
      <w:r>
        <w:rPr>
          <w:noProof/>
        </w:rPr>
        <w:t>6.</w:t>
      </w:r>
      <w:r>
        <w:rPr>
          <w:rFonts w:eastAsiaTheme="minorEastAsia" w:cstheme="minorBidi"/>
          <w:noProof/>
          <w:sz w:val="22"/>
          <w:szCs w:val="22"/>
        </w:rPr>
        <w:tab/>
      </w:r>
      <w:r>
        <w:rPr>
          <w:noProof/>
        </w:rPr>
        <w:t>Implementation and consultation</w:t>
      </w:r>
      <w:r>
        <w:rPr>
          <w:noProof/>
        </w:rPr>
        <w:tab/>
      </w:r>
      <w:r w:rsidR="009D6D85">
        <w:rPr>
          <w:noProof/>
        </w:rPr>
        <w:fldChar w:fldCharType="begin"/>
      </w:r>
      <w:r>
        <w:rPr>
          <w:noProof/>
        </w:rPr>
        <w:instrText xml:space="preserve"> PAGEREF _Toc450139404 \h </w:instrText>
      </w:r>
      <w:r w:rsidR="009D6D85">
        <w:rPr>
          <w:noProof/>
        </w:rPr>
      </w:r>
      <w:r w:rsidR="009D6D85">
        <w:rPr>
          <w:noProof/>
        </w:rPr>
        <w:fldChar w:fldCharType="separate"/>
      </w:r>
      <w:r>
        <w:rPr>
          <w:noProof/>
        </w:rPr>
        <w:t>6</w:t>
      </w:r>
      <w:r w:rsidR="009D6D85">
        <w:rPr>
          <w:noProof/>
        </w:rPr>
        <w:fldChar w:fldCharType="end"/>
      </w:r>
    </w:p>
    <w:p w:rsidR="005A7680" w:rsidRDefault="005A7680">
      <w:pPr>
        <w:pStyle w:val="TOC2"/>
        <w:rPr>
          <w:rFonts w:eastAsiaTheme="minorEastAsia" w:cstheme="minorBidi"/>
          <w:noProof/>
          <w:sz w:val="22"/>
          <w:szCs w:val="22"/>
        </w:rPr>
      </w:pPr>
      <w:r>
        <w:rPr>
          <w:noProof/>
        </w:rPr>
        <w:t>7.</w:t>
      </w:r>
      <w:r>
        <w:rPr>
          <w:rFonts w:eastAsiaTheme="minorEastAsia" w:cstheme="minorBidi"/>
          <w:noProof/>
          <w:sz w:val="22"/>
          <w:szCs w:val="22"/>
        </w:rPr>
        <w:tab/>
      </w:r>
      <w:r>
        <w:rPr>
          <w:noProof/>
        </w:rPr>
        <w:t>Considerations</w:t>
      </w:r>
      <w:r>
        <w:rPr>
          <w:noProof/>
        </w:rPr>
        <w:tab/>
      </w:r>
      <w:r w:rsidR="009D6D85">
        <w:rPr>
          <w:noProof/>
        </w:rPr>
        <w:fldChar w:fldCharType="begin"/>
      </w:r>
      <w:r>
        <w:rPr>
          <w:noProof/>
        </w:rPr>
        <w:instrText xml:space="preserve"> PAGEREF _Toc450139405 \h </w:instrText>
      </w:r>
      <w:r w:rsidR="009D6D85">
        <w:rPr>
          <w:noProof/>
        </w:rPr>
      </w:r>
      <w:r w:rsidR="009D6D85">
        <w:rPr>
          <w:noProof/>
        </w:rPr>
        <w:fldChar w:fldCharType="separate"/>
      </w:r>
      <w:r>
        <w:rPr>
          <w:noProof/>
        </w:rPr>
        <w:t>6</w:t>
      </w:r>
      <w:r w:rsidR="009D6D85">
        <w:rPr>
          <w:noProof/>
        </w:rPr>
        <w:fldChar w:fldCharType="end"/>
      </w:r>
    </w:p>
    <w:p w:rsidR="005A7680" w:rsidRDefault="005A7680">
      <w:pPr>
        <w:pStyle w:val="TOC3"/>
        <w:rPr>
          <w:rFonts w:eastAsiaTheme="minorEastAsia" w:cstheme="minorBidi"/>
          <w:sz w:val="22"/>
          <w:szCs w:val="22"/>
        </w:rPr>
      </w:pPr>
      <w:r>
        <w:t>1.1</w:t>
      </w:r>
      <w:r>
        <w:rPr>
          <w:rFonts w:eastAsiaTheme="minorEastAsia" w:cstheme="minorBidi"/>
          <w:sz w:val="22"/>
          <w:szCs w:val="22"/>
        </w:rPr>
        <w:tab/>
      </w:r>
      <w:r>
        <w:t>Standard Operating Procedures</w:t>
      </w:r>
      <w:r>
        <w:tab/>
      </w:r>
      <w:r w:rsidR="009D6D85">
        <w:fldChar w:fldCharType="begin"/>
      </w:r>
      <w:r>
        <w:instrText xml:space="preserve"> PAGEREF _Toc450139406 \h </w:instrText>
      </w:r>
      <w:r w:rsidR="009D6D85">
        <w:fldChar w:fldCharType="separate"/>
      </w:r>
      <w:r>
        <w:t>6</w:t>
      </w:r>
      <w:r w:rsidR="009D6D85">
        <w:fldChar w:fldCharType="end"/>
      </w:r>
    </w:p>
    <w:p w:rsidR="005A7680" w:rsidRDefault="005A7680">
      <w:pPr>
        <w:pStyle w:val="TOC3"/>
        <w:rPr>
          <w:rFonts w:eastAsiaTheme="minorEastAsia" w:cstheme="minorBidi"/>
          <w:sz w:val="22"/>
          <w:szCs w:val="22"/>
        </w:rPr>
      </w:pPr>
      <w:r>
        <w:t>1.2</w:t>
      </w:r>
      <w:r>
        <w:rPr>
          <w:rFonts w:eastAsiaTheme="minorEastAsia" w:cstheme="minorBidi"/>
          <w:sz w:val="22"/>
          <w:szCs w:val="22"/>
        </w:rPr>
        <w:tab/>
      </w:r>
      <w:r>
        <w:t>Legal</w:t>
      </w:r>
      <w:r>
        <w:tab/>
      </w:r>
      <w:r w:rsidR="009D6D85">
        <w:fldChar w:fldCharType="begin"/>
      </w:r>
      <w:r>
        <w:instrText xml:space="preserve"> PAGEREF _Toc450139407 \h </w:instrText>
      </w:r>
      <w:r w:rsidR="009D6D85">
        <w:fldChar w:fldCharType="separate"/>
      </w:r>
      <w:r>
        <w:t>6</w:t>
      </w:r>
      <w:r w:rsidR="009D6D85">
        <w:fldChar w:fldCharType="end"/>
      </w:r>
    </w:p>
    <w:p w:rsidR="005A7680" w:rsidRDefault="005A7680">
      <w:pPr>
        <w:pStyle w:val="TOC3"/>
        <w:rPr>
          <w:rFonts w:eastAsiaTheme="minorEastAsia" w:cstheme="minorBidi"/>
          <w:sz w:val="22"/>
          <w:szCs w:val="22"/>
        </w:rPr>
      </w:pPr>
      <w:r>
        <w:t>1.3</w:t>
      </w:r>
      <w:r>
        <w:rPr>
          <w:rFonts w:eastAsiaTheme="minorEastAsia" w:cstheme="minorBidi"/>
          <w:sz w:val="22"/>
          <w:szCs w:val="22"/>
        </w:rPr>
        <w:tab/>
      </w:r>
      <w:r>
        <w:t>Personal information and information that is reasonably identifiable</w:t>
      </w:r>
      <w:r>
        <w:tab/>
      </w:r>
      <w:r w:rsidR="009D6D85">
        <w:fldChar w:fldCharType="begin"/>
      </w:r>
      <w:r>
        <w:instrText xml:space="preserve"> PAGEREF _Toc450139408 \h </w:instrText>
      </w:r>
      <w:r w:rsidR="009D6D85">
        <w:fldChar w:fldCharType="separate"/>
      </w:r>
      <w:r>
        <w:t>7</w:t>
      </w:r>
      <w:r w:rsidR="009D6D85">
        <w:fldChar w:fldCharType="end"/>
      </w:r>
    </w:p>
    <w:p w:rsidR="005A7680" w:rsidRDefault="005A7680">
      <w:pPr>
        <w:pStyle w:val="TOC2"/>
        <w:rPr>
          <w:rFonts w:eastAsiaTheme="minorEastAsia" w:cstheme="minorBidi"/>
          <w:noProof/>
          <w:sz w:val="22"/>
          <w:szCs w:val="22"/>
        </w:rPr>
      </w:pPr>
      <w:r>
        <w:rPr>
          <w:noProof/>
        </w:rPr>
        <w:t>8.</w:t>
      </w:r>
      <w:r>
        <w:rPr>
          <w:rFonts w:eastAsiaTheme="minorEastAsia" w:cstheme="minorBidi"/>
          <w:noProof/>
          <w:sz w:val="22"/>
          <w:szCs w:val="22"/>
        </w:rPr>
        <w:tab/>
      </w:r>
      <w:r>
        <w:rPr>
          <w:noProof/>
        </w:rPr>
        <w:t>Associated legislation, policies and standards</w:t>
      </w:r>
      <w:r>
        <w:rPr>
          <w:noProof/>
        </w:rPr>
        <w:tab/>
      </w:r>
      <w:r w:rsidR="009D6D85">
        <w:rPr>
          <w:noProof/>
        </w:rPr>
        <w:fldChar w:fldCharType="begin"/>
      </w:r>
      <w:r>
        <w:rPr>
          <w:noProof/>
        </w:rPr>
        <w:instrText xml:space="preserve"> PAGEREF _Toc450139409 \h </w:instrText>
      </w:r>
      <w:r w:rsidR="009D6D85">
        <w:rPr>
          <w:noProof/>
        </w:rPr>
      </w:r>
      <w:r w:rsidR="009D6D85">
        <w:rPr>
          <w:noProof/>
        </w:rPr>
        <w:fldChar w:fldCharType="separate"/>
      </w:r>
      <w:r>
        <w:rPr>
          <w:noProof/>
        </w:rPr>
        <w:t>7</w:t>
      </w:r>
      <w:r w:rsidR="009D6D85">
        <w:rPr>
          <w:noProof/>
        </w:rPr>
        <w:fldChar w:fldCharType="end"/>
      </w:r>
    </w:p>
    <w:p w:rsidR="005A7680" w:rsidRDefault="005A7680">
      <w:pPr>
        <w:pStyle w:val="TOC3"/>
        <w:rPr>
          <w:rFonts w:eastAsiaTheme="minorEastAsia" w:cstheme="minorBidi"/>
          <w:sz w:val="22"/>
          <w:szCs w:val="22"/>
        </w:rPr>
      </w:pPr>
      <w:r>
        <w:t>1.4</w:t>
      </w:r>
      <w:r>
        <w:rPr>
          <w:rFonts w:eastAsiaTheme="minorEastAsia" w:cstheme="minorBidi"/>
          <w:sz w:val="22"/>
          <w:szCs w:val="22"/>
        </w:rPr>
        <w:tab/>
      </w:r>
      <w:r>
        <w:t>Legislation</w:t>
      </w:r>
      <w:r>
        <w:tab/>
      </w:r>
      <w:r w:rsidR="009D6D85">
        <w:fldChar w:fldCharType="begin"/>
      </w:r>
      <w:r>
        <w:instrText xml:space="preserve"> PAGEREF _Toc450139410 \h </w:instrText>
      </w:r>
      <w:r w:rsidR="009D6D85">
        <w:fldChar w:fldCharType="separate"/>
      </w:r>
      <w:r>
        <w:t>7</w:t>
      </w:r>
      <w:r w:rsidR="009D6D85">
        <w:fldChar w:fldCharType="end"/>
      </w:r>
    </w:p>
    <w:p w:rsidR="005A7680" w:rsidRDefault="005A7680">
      <w:pPr>
        <w:pStyle w:val="TOC3"/>
        <w:rPr>
          <w:rFonts w:eastAsiaTheme="minorEastAsia" w:cstheme="minorBidi"/>
          <w:sz w:val="22"/>
          <w:szCs w:val="22"/>
        </w:rPr>
      </w:pPr>
      <w:r>
        <w:t>1.5</w:t>
      </w:r>
      <w:r>
        <w:rPr>
          <w:rFonts w:eastAsiaTheme="minorEastAsia" w:cstheme="minorBidi"/>
          <w:sz w:val="22"/>
          <w:szCs w:val="22"/>
        </w:rPr>
        <w:tab/>
      </w:r>
      <w:r>
        <w:t>Policies, guidelines and standards</w:t>
      </w:r>
      <w:r>
        <w:tab/>
      </w:r>
      <w:r w:rsidR="009D6D85">
        <w:fldChar w:fldCharType="begin"/>
      </w:r>
      <w:r>
        <w:instrText xml:space="preserve"> PAGEREF _Toc450139411 \h </w:instrText>
      </w:r>
      <w:r w:rsidR="009D6D85">
        <w:fldChar w:fldCharType="separate"/>
      </w:r>
      <w:r>
        <w:t>7</w:t>
      </w:r>
      <w:r w:rsidR="009D6D85">
        <w:fldChar w:fldCharType="end"/>
      </w:r>
    </w:p>
    <w:p w:rsidR="005A7680" w:rsidRDefault="005A7680">
      <w:pPr>
        <w:pStyle w:val="TOC1"/>
        <w:rPr>
          <w:rFonts w:eastAsiaTheme="minorEastAsia" w:cstheme="minorBidi"/>
          <w:noProof/>
          <w:szCs w:val="22"/>
        </w:rPr>
      </w:pPr>
      <w:r>
        <w:rPr>
          <w:noProof/>
        </w:rPr>
        <w:t>Contact</w:t>
      </w:r>
      <w:r>
        <w:rPr>
          <w:noProof/>
        </w:rPr>
        <w:tab/>
      </w:r>
      <w:r w:rsidR="009D6D85">
        <w:rPr>
          <w:noProof/>
        </w:rPr>
        <w:fldChar w:fldCharType="begin"/>
      </w:r>
      <w:r>
        <w:rPr>
          <w:noProof/>
        </w:rPr>
        <w:instrText xml:space="preserve"> PAGEREF _Toc450139412 \h </w:instrText>
      </w:r>
      <w:r w:rsidR="009D6D85">
        <w:rPr>
          <w:noProof/>
        </w:rPr>
      </w:r>
      <w:r w:rsidR="009D6D85">
        <w:rPr>
          <w:noProof/>
        </w:rPr>
        <w:fldChar w:fldCharType="separate"/>
      </w:r>
      <w:r>
        <w:rPr>
          <w:noProof/>
        </w:rPr>
        <w:t>8</w:t>
      </w:r>
      <w:r w:rsidR="009D6D85">
        <w:rPr>
          <w:noProof/>
        </w:rPr>
        <w:fldChar w:fldCharType="end"/>
      </w:r>
    </w:p>
    <w:p w:rsidR="005A7680" w:rsidRDefault="005A7680">
      <w:pPr>
        <w:pStyle w:val="TOC1"/>
        <w:rPr>
          <w:rFonts w:eastAsiaTheme="minorEastAsia" w:cstheme="minorBidi"/>
          <w:noProof/>
          <w:szCs w:val="22"/>
        </w:rPr>
      </w:pPr>
      <w:r>
        <w:rPr>
          <w:noProof/>
        </w:rPr>
        <w:t>Glossary</w:t>
      </w:r>
      <w:r>
        <w:rPr>
          <w:noProof/>
        </w:rPr>
        <w:tab/>
      </w:r>
      <w:r w:rsidR="009D6D85">
        <w:rPr>
          <w:noProof/>
        </w:rPr>
        <w:fldChar w:fldCharType="begin"/>
      </w:r>
      <w:r>
        <w:rPr>
          <w:noProof/>
        </w:rPr>
        <w:instrText xml:space="preserve"> PAGEREF _Toc450139413 \h </w:instrText>
      </w:r>
      <w:r w:rsidR="009D6D85">
        <w:rPr>
          <w:noProof/>
        </w:rPr>
      </w:r>
      <w:r w:rsidR="009D6D85">
        <w:rPr>
          <w:noProof/>
        </w:rPr>
        <w:fldChar w:fldCharType="separate"/>
      </w:r>
      <w:r>
        <w:rPr>
          <w:noProof/>
        </w:rPr>
        <w:t>8</w:t>
      </w:r>
      <w:r w:rsidR="009D6D85">
        <w:rPr>
          <w:noProof/>
        </w:rPr>
        <w:fldChar w:fldCharType="end"/>
      </w:r>
    </w:p>
    <w:p w:rsidR="005A7680" w:rsidRDefault="005A7680">
      <w:pPr>
        <w:pStyle w:val="TOC1"/>
        <w:rPr>
          <w:rFonts w:eastAsiaTheme="minorEastAsia" w:cstheme="minorBidi"/>
          <w:noProof/>
          <w:szCs w:val="22"/>
        </w:rPr>
      </w:pPr>
      <w:r>
        <w:rPr>
          <w:noProof/>
        </w:rPr>
        <w:t>Appendix</w:t>
      </w:r>
      <w:r>
        <w:rPr>
          <w:noProof/>
        </w:rPr>
        <w:tab/>
      </w:r>
      <w:r w:rsidR="009D6D85">
        <w:rPr>
          <w:noProof/>
        </w:rPr>
        <w:fldChar w:fldCharType="begin"/>
      </w:r>
      <w:r>
        <w:rPr>
          <w:noProof/>
        </w:rPr>
        <w:instrText xml:space="preserve"> PAGEREF _Toc450139414 \h </w:instrText>
      </w:r>
      <w:r w:rsidR="009D6D85">
        <w:rPr>
          <w:noProof/>
        </w:rPr>
      </w:r>
      <w:r w:rsidR="009D6D85">
        <w:rPr>
          <w:noProof/>
        </w:rPr>
        <w:fldChar w:fldCharType="separate"/>
      </w:r>
      <w:r>
        <w:rPr>
          <w:noProof/>
        </w:rPr>
        <w:t>9</w:t>
      </w:r>
      <w:r w:rsidR="009D6D85">
        <w:rPr>
          <w:noProof/>
        </w:rPr>
        <w:fldChar w:fldCharType="end"/>
      </w:r>
    </w:p>
    <w:p w:rsidR="005A7680" w:rsidRDefault="005A7680">
      <w:pPr>
        <w:pStyle w:val="TOC2"/>
        <w:rPr>
          <w:rFonts w:eastAsiaTheme="minorEastAsia" w:cstheme="minorBidi"/>
          <w:noProof/>
          <w:sz w:val="22"/>
          <w:szCs w:val="22"/>
        </w:rPr>
      </w:pPr>
      <w:r>
        <w:rPr>
          <w:noProof/>
        </w:rPr>
        <w:t>9.</w:t>
      </w:r>
      <w:r>
        <w:rPr>
          <w:rFonts w:eastAsiaTheme="minorEastAsia" w:cstheme="minorBidi"/>
          <w:noProof/>
          <w:sz w:val="22"/>
          <w:szCs w:val="22"/>
        </w:rPr>
        <w:tab/>
      </w:r>
      <w:r>
        <w:rPr>
          <w:noProof/>
        </w:rPr>
        <w:t>Amendment history</w:t>
      </w:r>
      <w:r>
        <w:rPr>
          <w:noProof/>
        </w:rPr>
        <w:tab/>
      </w:r>
      <w:r w:rsidR="009D6D85">
        <w:rPr>
          <w:noProof/>
        </w:rPr>
        <w:fldChar w:fldCharType="begin"/>
      </w:r>
      <w:r>
        <w:rPr>
          <w:noProof/>
        </w:rPr>
        <w:instrText xml:space="preserve"> PAGEREF _Toc450139415 \h </w:instrText>
      </w:r>
      <w:r w:rsidR="009D6D85">
        <w:rPr>
          <w:noProof/>
        </w:rPr>
      </w:r>
      <w:r w:rsidR="009D6D85">
        <w:rPr>
          <w:noProof/>
        </w:rPr>
        <w:fldChar w:fldCharType="separate"/>
      </w:r>
      <w:r>
        <w:rPr>
          <w:noProof/>
        </w:rPr>
        <w:t>9</w:t>
      </w:r>
      <w:r w:rsidR="009D6D85">
        <w:rPr>
          <w:noProof/>
        </w:rPr>
        <w:fldChar w:fldCharType="end"/>
      </w:r>
    </w:p>
    <w:p w:rsidR="00F8750D" w:rsidRPr="00AF2AE2" w:rsidRDefault="009D6D85" w:rsidP="00F4361A">
      <w:pPr>
        <w:pStyle w:val="Heading2"/>
        <w:numPr>
          <w:ilvl w:val="0"/>
          <w:numId w:val="0"/>
        </w:numPr>
        <w:ind w:left="680"/>
      </w:pPr>
      <w:r>
        <w:rPr>
          <w:b/>
          <w:color w:val="000000"/>
        </w:rPr>
        <w:fldChar w:fldCharType="end"/>
      </w:r>
      <w:r w:rsidR="00F8750D" w:rsidRPr="00451D1B">
        <w:br w:type="page"/>
      </w:r>
      <w:bookmarkStart w:id="6" w:name="_Toc300215035"/>
      <w:bookmarkStart w:id="7" w:name="_Toc531166138"/>
      <w:bookmarkStart w:id="8" w:name="_Toc531166228"/>
      <w:bookmarkStart w:id="9" w:name="_Toc91491818"/>
      <w:bookmarkStart w:id="10" w:name="_Toc449418505"/>
      <w:bookmarkStart w:id="11" w:name="_Toc451834187"/>
      <w:bookmarkStart w:id="12" w:name="_Toc504793197"/>
      <w:bookmarkStart w:id="13" w:name="_Toc504793566"/>
      <w:bookmarkEnd w:id="5"/>
    </w:p>
    <w:p w:rsidR="00832B82" w:rsidRPr="008473A9" w:rsidRDefault="00832B82" w:rsidP="00BF1D3F">
      <w:pPr>
        <w:pStyle w:val="Heading1"/>
      </w:pPr>
      <w:bookmarkStart w:id="14" w:name="_Toc450139396"/>
      <w:r w:rsidRPr="008473A9">
        <w:lastRenderedPageBreak/>
        <w:t>Preamble</w:t>
      </w:r>
      <w:bookmarkEnd w:id="14"/>
      <w:r w:rsidR="005A0FA5" w:rsidRPr="008473A9">
        <w:tab/>
      </w:r>
    </w:p>
    <w:p w:rsidR="00CC5B82" w:rsidRDefault="00832B82" w:rsidP="00CC5B82">
      <w:pPr>
        <w:pStyle w:val="BodyText"/>
      </w:pPr>
      <w:r w:rsidRPr="00832B82">
        <w:rPr>
          <w:bCs/>
        </w:rPr>
        <w:t xml:space="preserve">A commitment to open government was made </w:t>
      </w:r>
      <w:r w:rsidR="00375AF9">
        <w:rPr>
          <w:bCs/>
        </w:rPr>
        <w:t>in</w:t>
      </w:r>
      <w:r w:rsidRPr="00832B82">
        <w:rPr>
          <w:bCs/>
        </w:rPr>
        <w:t xml:space="preserve"> the Legislative Assembly on 23 June 2011.  </w:t>
      </w:r>
      <w:r w:rsidR="00CC5B82" w:rsidRPr="00832B82">
        <w:t xml:space="preserve">The 2014 </w:t>
      </w:r>
      <w:hyperlink r:id="rId18" w:history="1">
        <w:r w:rsidR="00CC5B82" w:rsidRPr="00832B82">
          <w:rPr>
            <w:rStyle w:val="Hyperlink"/>
          </w:rPr>
          <w:t>Global Open Data Index</w:t>
        </w:r>
      </w:hyperlink>
      <w:r w:rsidR="00CC5B82" w:rsidRPr="00832B82">
        <w:t xml:space="preserve"> ranks </w:t>
      </w:r>
      <w:hyperlink r:id="rId19" w:history="1">
        <w:r w:rsidR="00CC5B82" w:rsidRPr="00832B82">
          <w:rPr>
            <w:rStyle w:val="Hyperlink"/>
          </w:rPr>
          <w:t>Australia</w:t>
        </w:r>
      </w:hyperlink>
      <w:r w:rsidR="00CC5B82" w:rsidRPr="00832B82">
        <w:t xml:space="preserve"> </w:t>
      </w:r>
      <w:r w:rsidR="00D120D6">
        <w:t xml:space="preserve">as </w:t>
      </w:r>
      <w:r w:rsidR="00CC5B82" w:rsidRPr="00832B82">
        <w:t>number 5 in the world for openness.</w:t>
      </w:r>
    </w:p>
    <w:p w:rsidR="00CC5B82" w:rsidRDefault="00CC5B82" w:rsidP="002E3D25">
      <w:pPr>
        <w:pStyle w:val="BodyText"/>
      </w:pPr>
      <w:r w:rsidRPr="00832B82">
        <w:t>Open data</w:t>
      </w:r>
      <w:r>
        <w:t>, a significant component of open government,</w:t>
      </w:r>
      <w:r w:rsidRPr="00832B82">
        <w:t xml:space="preserve"> is of increasing interest to the community, and is essential to achieving a Digital Canberra</w:t>
      </w:r>
      <w:r>
        <w:t xml:space="preserve">. </w:t>
      </w:r>
      <w:r>
        <w:rPr>
          <w:bCs/>
        </w:rPr>
        <w:t xml:space="preserve">In 2012, the ACT Government </w:t>
      </w:r>
      <w:r w:rsidR="00832B82" w:rsidRPr="00832B82">
        <w:rPr>
          <w:bCs/>
        </w:rPr>
        <w:t>released one of Aust</w:t>
      </w:r>
      <w:r>
        <w:rPr>
          <w:bCs/>
        </w:rPr>
        <w:t xml:space="preserve">ralia’s first open data portals based on the following value </w:t>
      </w:r>
      <w:r w:rsidR="00A32D0E">
        <w:rPr>
          <w:bCs/>
        </w:rPr>
        <w:t>proposition</w:t>
      </w:r>
      <w:r w:rsidR="00942186">
        <w:rPr>
          <w:bCs/>
        </w:rPr>
        <w:t>:</w:t>
      </w:r>
    </w:p>
    <w:p w:rsidR="00227468" w:rsidRPr="00BF1D3F" w:rsidRDefault="004828EB" w:rsidP="00BF1D3F">
      <w:pPr>
        <w:pStyle w:val="BodyText"/>
        <w:numPr>
          <w:ilvl w:val="0"/>
          <w:numId w:val="14"/>
        </w:numPr>
        <w:rPr>
          <w:b/>
        </w:rPr>
      </w:pPr>
      <w:r w:rsidRPr="00227468">
        <w:rPr>
          <w:rStyle w:val="Strong"/>
          <w:bCs w:val="0"/>
        </w:rPr>
        <w:t>I</w:t>
      </w:r>
      <w:r w:rsidRPr="00BF1D3F">
        <w:rPr>
          <w:b/>
        </w:rPr>
        <w:t xml:space="preserve">mprove public confidence in government. </w:t>
      </w:r>
      <w:r w:rsidRPr="00BF1D3F">
        <w:t>Greater transparency and effective communications through the use of data narratives can work to improve community confidence in government.</w:t>
      </w:r>
    </w:p>
    <w:p w:rsidR="00391D61" w:rsidRPr="00BF1D3F" w:rsidRDefault="00391D61" w:rsidP="00BF1D3F">
      <w:pPr>
        <w:pStyle w:val="BodyText"/>
        <w:numPr>
          <w:ilvl w:val="0"/>
          <w:numId w:val="14"/>
        </w:numPr>
        <w:rPr>
          <w:b/>
        </w:rPr>
      </w:pPr>
      <w:r w:rsidRPr="00BF1D3F">
        <w:rPr>
          <w:b/>
        </w:rPr>
        <w:t xml:space="preserve">Improve strategic relationships. </w:t>
      </w:r>
      <w:proofErr w:type="gramStart"/>
      <w:r w:rsidRPr="00BF1D3F">
        <w:t>Strategic relationships with researchers, learning institutions, business, community</w:t>
      </w:r>
      <w:r w:rsidR="004B6C94" w:rsidRPr="00BF1D3F">
        <w:t xml:space="preserve"> organisations</w:t>
      </w:r>
      <w:r w:rsidRPr="00BF1D3F">
        <w:t>, NGO</w:t>
      </w:r>
      <w:r w:rsidR="004B6C94" w:rsidRPr="00BF1D3F">
        <w:t>s</w:t>
      </w:r>
      <w:r w:rsidRPr="00BF1D3F">
        <w:t>, and government organisations is</w:t>
      </w:r>
      <w:proofErr w:type="gramEnd"/>
      <w:r w:rsidRPr="00BF1D3F">
        <w:t xml:space="preserve"> strengthened when government data is made available and easily accessible.</w:t>
      </w:r>
    </w:p>
    <w:p w:rsidR="00A32D0E" w:rsidRPr="00BF1D3F" w:rsidRDefault="00A32D0E" w:rsidP="00BF1D3F">
      <w:pPr>
        <w:pStyle w:val="BodyText"/>
        <w:numPr>
          <w:ilvl w:val="0"/>
          <w:numId w:val="14"/>
        </w:numPr>
        <w:rPr>
          <w:b/>
        </w:rPr>
      </w:pPr>
      <w:r w:rsidRPr="00BF1D3F">
        <w:rPr>
          <w:b/>
        </w:rPr>
        <w:t>Generate revenue and create new jobs in the private sector.</w:t>
      </w:r>
      <w:r w:rsidR="006724CE" w:rsidRPr="00BF1D3F">
        <w:t xml:space="preserve"> </w:t>
      </w:r>
      <w:r w:rsidRPr="00BF1D3F">
        <w:t>Making more government data publicly available in standards-compliant, machine-readable formats makes it easier for private sector companies and entrepreneurs to create new innovations, and business ventures that can help strengthen and grow the local economy.</w:t>
      </w:r>
    </w:p>
    <w:p w:rsidR="00A32D0E" w:rsidRPr="00BF1D3F" w:rsidRDefault="00A32D0E" w:rsidP="00BF1D3F">
      <w:pPr>
        <w:pStyle w:val="BodyText"/>
        <w:numPr>
          <w:ilvl w:val="0"/>
          <w:numId w:val="14"/>
        </w:numPr>
      </w:pPr>
      <w:r w:rsidRPr="00BF1D3F">
        <w:rPr>
          <w:b/>
        </w:rPr>
        <w:t>Empower employees to make better-informed, data-driven decisions.</w:t>
      </w:r>
      <w:r w:rsidRPr="00BF1D3F">
        <w:t xml:space="preserve"> Making it easier to find existing data is essential to being able to then incorporate that data into everyday decision-making processes for improved business intelligence.</w:t>
      </w:r>
    </w:p>
    <w:p w:rsidR="00A32D0E" w:rsidRPr="00BF1D3F" w:rsidRDefault="00A32D0E" w:rsidP="00BF1D3F">
      <w:pPr>
        <w:pStyle w:val="BodyText"/>
        <w:numPr>
          <w:ilvl w:val="0"/>
          <w:numId w:val="14"/>
        </w:numPr>
        <w:rPr>
          <w:b/>
        </w:rPr>
      </w:pPr>
      <w:r w:rsidRPr="00BF1D3F">
        <w:rPr>
          <w:b/>
        </w:rPr>
        <w:t>Avoid duplicative internal research.</w:t>
      </w:r>
      <w:r w:rsidR="00BF1D3F">
        <w:t xml:space="preserve"> </w:t>
      </w:r>
      <w:r w:rsidRPr="00BF1D3F">
        <w:t>Greater internal transparency of data holdings can prevent the possibility of funds being wasted in re</w:t>
      </w:r>
      <w:r w:rsidR="00056D1F" w:rsidRPr="00BF1D3F">
        <w:t>-</w:t>
      </w:r>
      <w:r w:rsidRPr="00BF1D3F">
        <w:t xml:space="preserve">collecting data due to lack of awareness of existing data holdings. </w:t>
      </w:r>
    </w:p>
    <w:p w:rsidR="007923CF" w:rsidRPr="00BF1D3F" w:rsidRDefault="007923CF" w:rsidP="00BF1D3F">
      <w:pPr>
        <w:pStyle w:val="BodyText"/>
        <w:numPr>
          <w:ilvl w:val="0"/>
          <w:numId w:val="14"/>
        </w:numPr>
        <w:rPr>
          <w:b/>
        </w:rPr>
      </w:pPr>
      <w:r w:rsidRPr="00BF1D3F">
        <w:rPr>
          <w:b/>
        </w:rPr>
        <w:t>Save time and money responding to Freedom of Information</w:t>
      </w:r>
      <w:r w:rsidR="00942186" w:rsidRPr="00BF1D3F">
        <w:rPr>
          <w:b/>
        </w:rPr>
        <w:t xml:space="preserve"> (FOI)</w:t>
      </w:r>
      <w:r w:rsidRPr="00BF1D3F">
        <w:rPr>
          <w:b/>
        </w:rPr>
        <w:t xml:space="preserve"> requests.</w:t>
      </w:r>
      <w:r w:rsidR="00BF1D3F">
        <w:t xml:space="preserve"> </w:t>
      </w:r>
      <w:r w:rsidRPr="00BF1D3F">
        <w:t xml:space="preserve">When data is open by default, the public can access the information it seeks directly, freeing </w:t>
      </w:r>
      <w:r w:rsidR="00942186" w:rsidRPr="00BF1D3F">
        <w:t>directorates and agencies</w:t>
      </w:r>
      <w:r w:rsidRPr="00BF1D3F">
        <w:t xml:space="preserve"> from the time and cost </w:t>
      </w:r>
      <w:r w:rsidR="00942186" w:rsidRPr="00BF1D3F">
        <w:t>related to responding to FOI</w:t>
      </w:r>
      <w:r w:rsidRPr="00BF1D3F">
        <w:t>s.</w:t>
      </w:r>
    </w:p>
    <w:p w:rsidR="007923CF" w:rsidRPr="00BF1D3F" w:rsidRDefault="00A32D0E" w:rsidP="00BF1D3F">
      <w:pPr>
        <w:pStyle w:val="BodyText"/>
        <w:numPr>
          <w:ilvl w:val="0"/>
          <w:numId w:val="14"/>
        </w:numPr>
        <w:rPr>
          <w:b/>
        </w:rPr>
      </w:pPr>
      <w:r w:rsidRPr="00BF1D3F">
        <w:rPr>
          <w:b/>
        </w:rPr>
        <w:t>Achieving greater value through l</w:t>
      </w:r>
      <w:r w:rsidR="00942186" w:rsidRPr="00BF1D3F">
        <w:rPr>
          <w:b/>
        </w:rPr>
        <w:t>inked</w:t>
      </w:r>
      <w:r w:rsidR="007923CF" w:rsidRPr="00BF1D3F">
        <w:rPr>
          <w:b/>
        </w:rPr>
        <w:t xml:space="preserve"> datasets</w:t>
      </w:r>
      <w:r w:rsidR="007923CF" w:rsidRPr="00BF1D3F">
        <w:t>.</w:t>
      </w:r>
      <w:r w:rsidR="00BF1D3F" w:rsidRPr="00BF1D3F">
        <w:t xml:space="preserve"> </w:t>
      </w:r>
      <w:r w:rsidR="00942186" w:rsidRPr="00BF1D3F">
        <w:t>Linking d</w:t>
      </w:r>
      <w:r w:rsidR="007923CF" w:rsidRPr="00BF1D3F">
        <w:t>ata</w:t>
      </w:r>
      <w:r w:rsidR="00942186" w:rsidRPr="00BF1D3F">
        <w:t>sets</w:t>
      </w:r>
      <w:r w:rsidR="007923CF" w:rsidRPr="00BF1D3F">
        <w:t xml:space="preserve"> held by </w:t>
      </w:r>
      <w:r w:rsidR="00942186" w:rsidRPr="00BF1D3F">
        <w:t>different directorates and</w:t>
      </w:r>
      <w:r w:rsidR="007923CF" w:rsidRPr="00BF1D3F">
        <w:t xml:space="preserve"> agencies </w:t>
      </w:r>
      <w:r w:rsidR="00942186" w:rsidRPr="00BF1D3F">
        <w:t>have the potential to produce</w:t>
      </w:r>
      <w:r w:rsidR="007923CF" w:rsidRPr="00BF1D3F">
        <w:t xml:space="preserve"> more powerful conclusions</w:t>
      </w:r>
      <w:r w:rsidR="00942186" w:rsidRPr="00BF1D3F">
        <w:t xml:space="preserve"> and </w:t>
      </w:r>
      <w:r w:rsidR="004828EB" w:rsidRPr="00BF1D3F">
        <w:t xml:space="preserve">more complete </w:t>
      </w:r>
      <w:r w:rsidR="00942186" w:rsidRPr="00BF1D3F">
        <w:t>analytic</w:t>
      </w:r>
      <w:r w:rsidR="004828EB" w:rsidRPr="00BF1D3F">
        <w:t>s</w:t>
      </w:r>
      <w:r w:rsidR="007923CF" w:rsidRPr="00BF1D3F">
        <w:t>.</w:t>
      </w:r>
    </w:p>
    <w:p w:rsidR="00CC5B82" w:rsidRPr="00832B82" w:rsidRDefault="00CC5B82" w:rsidP="00F10885">
      <w:pPr>
        <w:pStyle w:val="BodyText"/>
      </w:pPr>
      <w:r>
        <w:t xml:space="preserve">A 2013 Report by </w:t>
      </w:r>
      <w:hyperlink r:id="rId20" w:history="1">
        <w:r>
          <w:rPr>
            <w:rStyle w:val="Hyperlink"/>
          </w:rPr>
          <w:t>McKinsey</w:t>
        </w:r>
      </w:hyperlink>
      <w:r w:rsidRPr="00832B82">
        <w:t xml:space="preserve"> suggests that open data could generate more than $3 trillion a year in additional value to world economies.</w:t>
      </w:r>
      <w:r w:rsidRPr="00CC5B82">
        <w:t xml:space="preserve"> </w:t>
      </w:r>
      <w:r w:rsidRPr="00832B82">
        <w:t>Similar scaling for Australia suggests that more vigorous open data policies could add around AUD $16 billion per annum to the Australian economy (</w:t>
      </w:r>
      <w:hyperlink r:id="rId21" w:history="1">
        <w:r w:rsidR="007059A0">
          <w:rPr>
            <w:rStyle w:val="Hyperlink"/>
          </w:rPr>
          <w:t>Open Data</w:t>
        </w:r>
        <w:r w:rsidRPr="00832B82">
          <w:rPr>
            <w:rStyle w:val="Hyperlink"/>
          </w:rPr>
          <w:t xml:space="preserve"> helping to achieve G20 growth targets</w:t>
        </w:r>
      </w:hyperlink>
      <w:r w:rsidRPr="00832B82">
        <w:t xml:space="preserve"> report).</w:t>
      </w:r>
    </w:p>
    <w:p w:rsidR="007923CF" w:rsidRDefault="007923CF" w:rsidP="007923CF">
      <w:pPr>
        <w:pStyle w:val="BodyText"/>
      </w:pPr>
      <w:r>
        <w:t xml:space="preserve">It is of continuing importance that a robust open data agenda be championed within government. This Policy sets out the official position </w:t>
      </w:r>
      <w:r w:rsidR="004B6C94">
        <w:t>on</w:t>
      </w:r>
      <w:r>
        <w:t xml:space="preserve"> open data for the ACT Government.</w:t>
      </w:r>
    </w:p>
    <w:p w:rsidR="00A32D0E" w:rsidRDefault="00A32D0E">
      <w:pPr>
        <w:suppressAutoHyphens w:val="0"/>
        <w:spacing w:after="0"/>
        <w:rPr>
          <w:rFonts w:ascii="Tahoma" w:hAnsi="Tahoma"/>
          <w:b/>
          <w:sz w:val="44"/>
          <w:szCs w:val="40"/>
        </w:rPr>
      </w:pPr>
      <w:r>
        <w:br w:type="page"/>
      </w:r>
      <w:bookmarkStart w:id="15" w:name="_GoBack"/>
      <w:bookmarkEnd w:id="15"/>
    </w:p>
    <w:p w:rsidR="00F8750D" w:rsidRPr="00AF2AE2" w:rsidRDefault="00F8750D" w:rsidP="00BF1D3F">
      <w:pPr>
        <w:pStyle w:val="Heading1"/>
      </w:pPr>
      <w:bookmarkStart w:id="16" w:name="_Toc450139397"/>
      <w:r w:rsidRPr="00AF2AE2">
        <w:lastRenderedPageBreak/>
        <w:t>Introduction</w:t>
      </w:r>
      <w:bookmarkEnd w:id="6"/>
      <w:bookmarkEnd w:id="16"/>
    </w:p>
    <w:p w:rsidR="00F8750D" w:rsidRPr="00AF2AE2" w:rsidRDefault="00F8750D" w:rsidP="00BF1D3F">
      <w:pPr>
        <w:pStyle w:val="Heading2"/>
      </w:pPr>
      <w:bookmarkStart w:id="17" w:name="_Toc300215036"/>
      <w:bookmarkStart w:id="18" w:name="_Toc450139398"/>
      <w:r w:rsidRPr="00AF2AE2">
        <w:t>Purpose</w:t>
      </w:r>
      <w:bookmarkEnd w:id="7"/>
      <w:bookmarkEnd w:id="8"/>
      <w:bookmarkEnd w:id="9"/>
      <w:bookmarkEnd w:id="17"/>
      <w:bookmarkEnd w:id="18"/>
    </w:p>
    <w:p w:rsidR="00F8750D" w:rsidRPr="00AF2AE2" w:rsidRDefault="00F8750D" w:rsidP="00F8750D">
      <w:bookmarkStart w:id="19" w:name="_Toc531166139"/>
      <w:bookmarkStart w:id="20" w:name="_Toc531166229"/>
      <w:r w:rsidRPr="00AF2AE2">
        <w:t xml:space="preserve">The </w:t>
      </w:r>
      <w:r w:rsidRPr="007923CF">
        <w:rPr>
          <w:i/>
        </w:rPr>
        <w:t>Proactive Release of Data (Open Data) Policy</w:t>
      </w:r>
      <w:r w:rsidRPr="00AF2AE2">
        <w:t xml:space="preserve"> (Policy) concerns the proactive provision of data to the public, in support of an overall ‘disclosure as default’ philosophy</w:t>
      </w:r>
      <w:r w:rsidR="001A3189">
        <w:t xml:space="preserve">, on a ‘need to </w:t>
      </w:r>
      <w:r w:rsidR="001A3189" w:rsidRPr="00A96D6B">
        <w:t xml:space="preserve">share’ </w:t>
      </w:r>
      <w:r w:rsidR="0025595E" w:rsidRPr="00A96D6B">
        <w:t xml:space="preserve">for datasets of community interest </w:t>
      </w:r>
      <w:r w:rsidR="001A3189" w:rsidRPr="00A96D6B">
        <w:t>rather</w:t>
      </w:r>
      <w:r w:rsidR="001A3189">
        <w:t xml:space="preserve"> than ‘need to know’ basis</w:t>
      </w:r>
      <w:r w:rsidRPr="00AF2AE2">
        <w:t>. This Policy is designed to unlock the economic and productivity benefits of proactively releasing public sector information, in addition to the social utility gains associated with transparency, participation</w:t>
      </w:r>
      <w:r w:rsidR="008B089D">
        <w:t>,</w:t>
      </w:r>
      <w:r w:rsidRPr="00AF2AE2">
        <w:t xml:space="preserve"> and collaboration.</w:t>
      </w:r>
    </w:p>
    <w:p w:rsidR="00F8750D" w:rsidRPr="00AF2AE2" w:rsidRDefault="00F8750D" w:rsidP="00F8750D">
      <w:r w:rsidRPr="00AF2AE2">
        <w:t>The Policy concerns disclosure of de-identified data sets.  It does not set any mandates for the release of documents or personal information in any unlawful manner or in any way that is inconsistent with existing legislation, standards</w:t>
      </w:r>
      <w:r w:rsidR="008B089D">
        <w:t>,</w:t>
      </w:r>
      <w:r w:rsidRPr="00AF2AE2">
        <w:t xml:space="preserve"> or policies relevant to government data and information.   </w:t>
      </w:r>
    </w:p>
    <w:p w:rsidR="00F8750D" w:rsidRPr="00AF2AE2" w:rsidRDefault="00F8750D" w:rsidP="00BF1D3F">
      <w:pPr>
        <w:pStyle w:val="Heading2"/>
      </w:pPr>
      <w:bookmarkStart w:id="21" w:name="_Toc91491819"/>
      <w:bookmarkStart w:id="22" w:name="_Toc300215039"/>
      <w:bookmarkStart w:id="23" w:name="_Toc450139399"/>
      <w:r w:rsidRPr="00AF2AE2">
        <w:t>Scope</w:t>
      </w:r>
      <w:bookmarkEnd w:id="10"/>
      <w:bookmarkEnd w:id="11"/>
      <w:bookmarkEnd w:id="12"/>
      <w:bookmarkEnd w:id="13"/>
      <w:bookmarkEnd w:id="19"/>
      <w:bookmarkEnd w:id="20"/>
      <w:bookmarkEnd w:id="21"/>
      <w:bookmarkEnd w:id="22"/>
      <w:bookmarkEnd w:id="23"/>
    </w:p>
    <w:p w:rsidR="00D120D6" w:rsidRPr="00AF2AE2" w:rsidRDefault="00D120D6" w:rsidP="00D120D6">
      <w:pPr>
        <w:pStyle w:val="BodyText"/>
      </w:pPr>
      <w:bookmarkStart w:id="24" w:name="_Toc531166141"/>
      <w:bookmarkStart w:id="25" w:name="_Toc531166231"/>
      <w:bookmarkStart w:id="26" w:name="_Toc531166140"/>
      <w:bookmarkStart w:id="27" w:name="_Toc531166230"/>
      <w:r w:rsidRPr="00AF2AE2">
        <w:t>All ACT Government Directorates and agencies are required to do what is necessary and reasonable to improve access to existing datasets by making them ‘open’</w:t>
      </w:r>
      <w:r>
        <w:t xml:space="preserve"> to the extent legally possible, with appropriate consideration given to licensing</w:t>
      </w:r>
      <w:r w:rsidRPr="00AF2AE2">
        <w:t xml:space="preserve">. </w:t>
      </w:r>
    </w:p>
    <w:p w:rsidR="00D120D6" w:rsidRPr="004C69C6" w:rsidRDefault="00A32D0E" w:rsidP="00A32D0E">
      <w:pPr>
        <w:pStyle w:val="Bullets"/>
        <w:numPr>
          <w:ilvl w:val="0"/>
          <w:numId w:val="0"/>
        </w:numPr>
      </w:pPr>
      <w:r w:rsidRPr="00AF2AE2">
        <w:t xml:space="preserve">This Policy mandates provision of as much </w:t>
      </w:r>
      <w:r w:rsidR="00D120D6">
        <w:t>P</w:t>
      </w:r>
      <w:r>
        <w:t>rioritised</w:t>
      </w:r>
      <w:r w:rsidRPr="00AF2AE2">
        <w:t xml:space="preserve"> </w:t>
      </w:r>
      <w:r w:rsidR="00D120D6">
        <w:t>D</w:t>
      </w:r>
      <w:r w:rsidRPr="00AF2AE2">
        <w:t xml:space="preserve">ata to the community as is </w:t>
      </w:r>
      <w:r w:rsidRPr="004C69C6">
        <w:t>practicable. In implementing this Policy, there will be inherent resource limitations</w:t>
      </w:r>
      <w:r w:rsidR="006046A6" w:rsidRPr="004C69C6">
        <w:t xml:space="preserve"> and to ensure the long term success of open data, </w:t>
      </w:r>
      <w:r w:rsidR="00D120D6" w:rsidRPr="004C69C6">
        <w:t>a disciplined approach to prioritisation and sustainability (th</w:t>
      </w:r>
      <w:r w:rsidR="003F73BA" w:rsidRPr="004C69C6">
        <w:t>rough efficiently repeatable processes, such as automation</w:t>
      </w:r>
      <w:r w:rsidR="00377296">
        <w:t>)</w:t>
      </w:r>
      <w:r w:rsidR="006046A6" w:rsidRPr="004C69C6">
        <w:t xml:space="preserve"> will be required</w:t>
      </w:r>
      <w:r w:rsidR="00D120D6" w:rsidRPr="004C69C6">
        <w:t>.</w:t>
      </w:r>
    </w:p>
    <w:p w:rsidR="00A32D0E" w:rsidRPr="00AF2AE2" w:rsidRDefault="003F73BA" w:rsidP="00A32D0E">
      <w:pPr>
        <w:pStyle w:val="Bullets"/>
        <w:numPr>
          <w:ilvl w:val="0"/>
          <w:numId w:val="0"/>
        </w:numPr>
      </w:pPr>
      <w:r w:rsidRPr="004C69C6">
        <w:t>Given that directorates and agencies</w:t>
      </w:r>
      <w:r w:rsidR="00D120D6" w:rsidRPr="004C69C6">
        <w:t xml:space="preserve"> are at different stages of open data maturity</w:t>
      </w:r>
      <w:r w:rsidR="00A32D0E" w:rsidRPr="004C69C6">
        <w:t>, it is</w:t>
      </w:r>
      <w:r w:rsidR="00A32D0E" w:rsidRPr="00AF2AE2">
        <w:t xml:space="preserve"> reasonable to expect a period of transition. The Policy recognises that it is generally easier to build data extraction requirements into new systems rather than</w:t>
      </w:r>
      <w:r w:rsidR="00A65F6B">
        <w:t xml:space="preserve"> into</w:t>
      </w:r>
      <w:r w:rsidR="00A32D0E" w:rsidRPr="00AF2AE2">
        <w:t xml:space="preserve"> existing ones and provides </w:t>
      </w:r>
      <w:r w:rsidR="00A65F6B">
        <w:t xml:space="preserve">strategic </w:t>
      </w:r>
      <w:r w:rsidR="00A32D0E" w:rsidRPr="00AF2AE2">
        <w:t xml:space="preserve">direction on how </w:t>
      </w:r>
      <w:r w:rsidR="00A65F6B">
        <w:t>the ACT Government can</w:t>
      </w:r>
      <w:r w:rsidR="00A32D0E" w:rsidRPr="00AF2AE2">
        <w:t xml:space="preserve"> transition to </w:t>
      </w:r>
      <w:r w:rsidR="00A65F6B">
        <w:t xml:space="preserve">a </w:t>
      </w:r>
      <w:r w:rsidR="00F90250">
        <w:t>more advanced</w:t>
      </w:r>
      <w:r w:rsidR="00A32D0E" w:rsidRPr="00AF2AE2">
        <w:t xml:space="preserve"> state of data openness. </w:t>
      </w:r>
    </w:p>
    <w:p w:rsidR="00F8750D" w:rsidRPr="00AF2AE2" w:rsidRDefault="00F8750D" w:rsidP="00F8750D">
      <w:pPr>
        <w:pStyle w:val="BodyText"/>
      </w:pPr>
    </w:p>
    <w:p w:rsidR="00F8750D" w:rsidRPr="00AF2AE2" w:rsidRDefault="00F8750D" w:rsidP="00BF1D3F">
      <w:pPr>
        <w:pStyle w:val="Heading1"/>
      </w:pPr>
      <w:bookmarkStart w:id="28" w:name="_Toc91491820"/>
      <w:bookmarkStart w:id="29" w:name="_Toc300215041"/>
      <w:bookmarkStart w:id="30" w:name="_Toc450139400"/>
      <w:bookmarkEnd w:id="24"/>
      <w:bookmarkEnd w:id="25"/>
      <w:r w:rsidRPr="00AF2AE2">
        <w:t>Policy</w:t>
      </w:r>
      <w:bookmarkEnd w:id="26"/>
      <w:bookmarkEnd w:id="27"/>
      <w:bookmarkEnd w:id="28"/>
      <w:bookmarkEnd w:id="29"/>
      <w:bookmarkEnd w:id="30"/>
    </w:p>
    <w:p w:rsidR="00F8750D" w:rsidRPr="00AF2AE2" w:rsidRDefault="00F8750D" w:rsidP="00BF1D3F">
      <w:pPr>
        <w:pStyle w:val="Heading2"/>
      </w:pPr>
      <w:bookmarkStart w:id="31" w:name="_Toc450139401"/>
      <w:bookmarkStart w:id="32" w:name="_Toc300215042"/>
      <w:bookmarkStart w:id="33" w:name="_Toc12081945"/>
      <w:bookmarkStart w:id="34" w:name="_Toc91491823"/>
      <w:r w:rsidRPr="00AF2AE2">
        <w:t>Principles</w:t>
      </w:r>
      <w:bookmarkEnd w:id="31"/>
    </w:p>
    <w:p w:rsidR="00F8750D" w:rsidRPr="00AF2AE2" w:rsidRDefault="00F8750D" w:rsidP="00F8750D">
      <w:pPr>
        <w:pStyle w:val="BodyText"/>
      </w:pPr>
      <w:r w:rsidRPr="00AF2AE2">
        <w:t xml:space="preserve">ACT Government data shall be considered open under this Policy if it complies with the following principles:   </w:t>
      </w:r>
    </w:p>
    <w:p w:rsidR="00CD1ED5" w:rsidRDefault="00F8750D" w:rsidP="00F8750D">
      <w:pPr>
        <w:pStyle w:val="BodyText"/>
        <w:numPr>
          <w:ilvl w:val="0"/>
          <w:numId w:val="14"/>
        </w:numPr>
      </w:pPr>
      <w:r w:rsidRPr="004C69C6">
        <w:rPr>
          <w:b/>
        </w:rPr>
        <w:t>Public.</w:t>
      </w:r>
      <w:r w:rsidRPr="004C69C6">
        <w:t xml:space="preserve"> </w:t>
      </w:r>
      <w:r w:rsidR="00CD1ED5" w:rsidRPr="004C69C6">
        <w:t xml:space="preserve">Data </w:t>
      </w:r>
      <w:r w:rsidR="00743EDC" w:rsidRPr="004C69C6">
        <w:t xml:space="preserve">owned or controlled by Government </w:t>
      </w:r>
      <w:r w:rsidR="00CD1ED5" w:rsidRPr="004C69C6">
        <w:t>is open to the public, limited</w:t>
      </w:r>
      <w:r w:rsidR="00CD1ED5">
        <w:t xml:space="preserve"> only by what is not permitted to be released under legislation, common</w:t>
      </w:r>
      <w:r w:rsidR="00CD1ED5" w:rsidRPr="00AF2AE2">
        <w:t xml:space="preserve"> law</w:t>
      </w:r>
      <w:r w:rsidR="00CD1ED5">
        <w:t>, or principles of public interest</w:t>
      </w:r>
      <w:r w:rsidR="00CD1ED5" w:rsidRPr="00AF2AE2">
        <w:t xml:space="preserve">.  See </w:t>
      </w:r>
      <w:r w:rsidR="00CD1ED5" w:rsidRPr="00CD1ED5">
        <w:rPr>
          <w:i/>
        </w:rPr>
        <w:t>Considerations</w:t>
      </w:r>
      <w:r w:rsidR="00CD1ED5" w:rsidRPr="00AF2AE2">
        <w:t xml:space="preserve"> for further discussion.</w:t>
      </w:r>
    </w:p>
    <w:p w:rsidR="00F8750D" w:rsidRPr="00AF2AE2" w:rsidRDefault="00F8750D" w:rsidP="00F8750D">
      <w:pPr>
        <w:pStyle w:val="BodyText"/>
        <w:numPr>
          <w:ilvl w:val="0"/>
          <w:numId w:val="14"/>
        </w:numPr>
      </w:pPr>
      <w:r w:rsidRPr="003F73BA">
        <w:rPr>
          <w:b/>
        </w:rPr>
        <w:t>Primary.</w:t>
      </w:r>
      <w:r w:rsidRPr="00AF2AE2">
        <w:t xml:space="preserve"> Data </w:t>
      </w:r>
      <w:r w:rsidR="00A65F6B">
        <w:t>is</w:t>
      </w:r>
      <w:r w:rsidRPr="00AF2AE2">
        <w:t xml:space="preserve"> published as collected</w:t>
      </w:r>
      <w:r w:rsidR="00CD1ED5">
        <w:t xml:space="preserve"> where possible</w:t>
      </w:r>
      <w:r w:rsidRPr="00AF2AE2">
        <w:t xml:space="preserve">, </w:t>
      </w:r>
      <w:r w:rsidR="00CD1ED5">
        <w:t>and may be</w:t>
      </w:r>
      <w:r w:rsidRPr="00AF2AE2">
        <w:t xml:space="preserve"> aggregate</w:t>
      </w:r>
      <w:r w:rsidR="00CD1ED5">
        <w:t>d</w:t>
      </w:r>
      <w:r w:rsidRPr="00AF2AE2">
        <w:t xml:space="preserve"> or modified</w:t>
      </w:r>
      <w:r w:rsidR="00CD1ED5">
        <w:t xml:space="preserve"> if required to comply with legislation, common law, or principles of public interest</w:t>
      </w:r>
      <w:r w:rsidRPr="00AF2AE2">
        <w:t>.</w:t>
      </w:r>
    </w:p>
    <w:p w:rsidR="00F8750D" w:rsidRPr="00AF2AE2" w:rsidRDefault="00F8750D" w:rsidP="00F8750D">
      <w:pPr>
        <w:pStyle w:val="BodyText"/>
        <w:numPr>
          <w:ilvl w:val="0"/>
          <w:numId w:val="14"/>
        </w:numPr>
      </w:pPr>
      <w:r w:rsidRPr="00AF2AE2">
        <w:rPr>
          <w:b/>
        </w:rPr>
        <w:t>Accessible.</w:t>
      </w:r>
      <w:r w:rsidRPr="00AF2AE2">
        <w:t xml:space="preserve"> Data </w:t>
      </w:r>
      <w:r w:rsidR="00A65F6B">
        <w:t>is</w:t>
      </w:r>
      <w:r w:rsidRPr="00AF2AE2">
        <w:t xml:space="preserve"> made available to the widest practical range of users for the widest range of uses. Publication of data </w:t>
      </w:r>
      <w:r w:rsidR="00A65F6B">
        <w:t>is</w:t>
      </w:r>
      <w:r w:rsidRPr="00AF2AE2">
        <w:t xml:space="preserve"> </w:t>
      </w:r>
      <w:r w:rsidR="00A65F6B">
        <w:t>appropriately</w:t>
      </w:r>
      <w:r w:rsidRPr="00AF2AE2">
        <w:t xml:space="preserve"> structured and encoded in machine-readable, non-proprietary formats. </w:t>
      </w:r>
    </w:p>
    <w:p w:rsidR="00F8750D" w:rsidRPr="00A96D6B" w:rsidRDefault="00F8750D" w:rsidP="00F8750D">
      <w:pPr>
        <w:pStyle w:val="BodyText"/>
        <w:numPr>
          <w:ilvl w:val="0"/>
          <w:numId w:val="14"/>
        </w:numPr>
      </w:pPr>
      <w:r w:rsidRPr="00AF2AE2">
        <w:rPr>
          <w:b/>
        </w:rPr>
        <w:t>Timely.</w:t>
      </w:r>
      <w:r w:rsidRPr="00AF2AE2">
        <w:t xml:space="preserve"> Data </w:t>
      </w:r>
      <w:r w:rsidR="00A65F6B">
        <w:t>is</w:t>
      </w:r>
      <w:r w:rsidRPr="00AF2AE2">
        <w:t xml:space="preserve"> made available in a timely fashion, taking into consideration the nature of the dataset</w:t>
      </w:r>
      <w:r w:rsidR="00A65F6B">
        <w:t>. Time-</w:t>
      </w:r>
      <w:r w:rsidR="00A65F6B" w:rsidRPr="00A96D6B">
        <w:t>sensitive data</w:t>
      </w:r>
      <w:r w:rsidRPr="00A96D6B">
        <w:t xml:space="preserve">sets </w:t>
      </w:r>
      <w:r w:rsidR="00A65F6B" w:rsidRPr="00A96D6B">
        <w:t>are</w:t>
      </w:r>
      <w:r w:rsidRPr="00A96D6B">
        <w:t xml:space="preserve"> </w:t>
      </w:r>
      <w:r w:rsidR="009B49C9" w:rsidRPr="00A96D6B">
        <w:t xml:space="preserve">generally </w:t>
      </w:r>
      <w:r w:rsidRPr="00A96D6B">
        <w:t>updated at the same frequency with which the data changes</w:t>
      </w:r>
      <w:r w:rsidR="009B49C9" w:rsidRPr="00A96D6B">
        <w:t>, noting the sensitivity of such data being accessed retrospectively</w:t>
      </w:r>
      <w:r w:rsidRPr="00A96D6B">
        <w:t>.</w:t>
      </w:r>
    </w:p>
    <w:p w:rsidR="00F8750D" w:rsidRPr="004C69C6" w:rsidRDefault="00F8750D" w:rsidP="00F8750D">
      <w:pPr>
        <w:pStyle w:val="BodyText"/>
        <w:numPr>
          <w:ilvl w:val="0"/>
          <w:numId w:val="14"/>
        </w:numPr>
      </w:pPr>
      <w:r w:rsidRPr="00AF2AE2">
        <w:rPr>
          <w:b/>
        </w:rPr>
        <w:lastRenderedPageBreak/>
        <w:t>Reusable.</w:t>
      </w:r>
      <w:r w:rsidRPr="00AF2AE2">
        <w:t xml:space="preserve"> </w:t>
      </w:r>
      <w:r w:rsidR="008915D1">
        <w:t>Open d</w:t>
      </w:r>
      <w:r w:rsidRPr="00AF2AE2">
        <w:t xml:space="preserve">ata </w:t>
      </w:r>
      <w:r w:rsidR="00A65F6B">
        <w:t>is</w:t>
      </w:r>
      <w:r w:rsidRPr="00AF2AE2">
        <w:t xml:space="preserve"> released under a Creative Commons Attribution Licence</w:t>
      </w:r>
      <w:r w:rsidR="008F2CA3">
        <w:t xml:space="preserve"> </w:t>
      </w:r>
      <w:r w:rsidR="008F2CA3" w:rsidRPr="004C69C6">
        <w:t>by default</w:t>
      </w:r>
      <w:r w:rsidRPr="004C69C6">
        <w:t xml:space="preserve"> allowing users the right to share and remix data</w:t>
      </w:r>
      <w:r w:rsidR="008F2CA3" w:rsidRPr="004C69C6">
        <w:t xml:space="preserve">, </w:t>
      </w:r>
      <w:r w:rsidR="008F2CA3" w:rsidRPr="009B49C9">
        <w:t>unless there are strong reasons for not doing so</w:t>
      </w:r>
      <w:r w:rsidRPr="004C69C6">
        <w:t xml:space="preserve">. The most current is the </w:t>
      </w:r>
      <w:hyperlink r:id="rId22" w:history="1">
        <w:r w:rsidRPr="004C69C6">
          <w:rPr>
            <w:rStyle w:val="Hyperlink"/>
          </w:rPr>
          <w:t>Creative Commons Attribution 4.0 Int</w:t>
        </w:r>
        <w:r w:rsidR="001A3189" w:rsidRPr="004C69C6">
          <w:rPr>
            <w:rStyle w:val="Hyperlink"/>
          </w:rPr>
          <w:t>ernational licence (CC BY 4.0</w:t>
        </w:r>
        <w:r w:rsidRPr="004C69C6">
          <w:rPr>
            <w:rStyle w:val="Hyperlink"/>
          </w:rPr>
          <w:t>)</w:t>
        </w:r>
      </w:hyperlink>
      <w:r w:rsidRPr="004C69C6">
        <w:t>.</w:t>
      </w:r>
    </w:p>
    <w:p w:rsidR="001A3189" w:rsidRPr="004C69C6" w:rsidRDefault="001A3189" w:rsidP="00F8750D">
      <w:pPr>
        <w:pStyle w:val="BodyText"/>
        <w:numPr>
          <w:ilvl w:val="0"/>
          <w:numId w:val="14"/>
        </w:numPr>
      </w:pPr>
      <w:r w:rsidRPr="004C69C6">
        <w:rPr>
          <w:b/>
        </w:rPr>
        <w:t>Trusted.</w:t>
      </w:r>
      <w:r w:rsidRPr="004C69C6">
        <w:t xml:space="preserve">  </w:t>
      </w:r>
      <w:r w:rsidR="003F73BA" w:rsidRPr="004C69C6">
        <w:t>The extent to which open data can be trusted is achieved by clearly articulating data flaws, with appropriate explanatory metadata.</w:t>
      </w:r>
    </w:p>
    <w:p w:rsidR="006046A6" w:rsidRPr="00A96D6B" w:rsidRDefault="006046A6" w:rsidP="00F8750D">
      <w:pPr>
        <w:pStyle w:val="BodyText"/>
        <w:numPr>
          <w:ilvl w:val="0"/>
          <w:numId w:val="14"/>
        </w:numPr>
      </w:pPr>
      <w:r w:rsidRPr="004C69C6">
        <w:rPr>
          <w:b/>
        </w:rPr>
        <w:t>Sustainable.</w:t>
      </w:r>
      <w:r w:rsidRPr="004C69C6">
        <w:t xml:space="preserve"> Data release is </w:t>
      </w:r>
      <w:r w:rsidR="003F73BA" w:rsidRPr="00A96D6B">
        <w:t>efficiently repeatable.</w:t>
      </w:r>
      <w:r w:rsidRPr="00A96D6B">
        <w:t xml:space="preserve"> </w:t>
      </w:r>
      <w:r w:rsidR="009B49C9" w:rsidRPr="00486D51">
        <w:t>O</w:t>
      </w:r>
      <w:r w:rsidR="003B6DA1" w:rsidRPr="00486D51">
        <w:t>pportunities</w:t>
      </w:r>
      <w:r w:rsidR="00C50878" w:rsidRPr="00486D51">
        <w:t xml:space="preserve"> </w:t>
      </w:r>
      <w:r w:rsidR="009B49C9" w:rsidRPr="00486D51">
        <w:t>may</w:t>
      </w:r>
      <w:r w:rsidR="00A96D6B" w:rsidRPr="00486D51">
        <w:t xml:space="preserve"> </w:t>
      </w:r>
      <w:r w:rsidR="009B49C9" w:rsidRPr="00486D51">
        <w:t>be</w:t>
      </w:r>
      <w:r w:rsidR="00C50878" w:rsidRPr="00486D51">
        <w:t xml:space="preserve"> pursued to enable open data to be self-sustaining</w:t>
      </w:r>
      <w:r w:rsidR="00617635" w:rsidRPr="00486D51">
        <w:t>,</w:t>
      </w:r>
      <w:r w:rsidR="009B49C9" w:rsidRPr="00486D51">
        <w:t xml:space="preserve"> while balancing the public’s </w:t>
      </w:r>
      <w:r w:rsidR="00617635" w:rsidRPr="00486D51">
        <w:t>desire</w:t>
      </w:r>
      <w:r w:rsidR="009B49C9" w:rsidRPr="00486D51">
        <w:t xml:space="preserve"> to </w:t>
      </w:r>
      <w:r w:rsidR="00617635" w:rsidRPr="00486D51">
        <w:t xml:space="preserve">avoid </w:t>
      </w:r>
      <w:r w:rsidR="009B49C9" w:rsidRPr="00486D51">
        <w:t xml:space="preserve">exclusivity </w:t>
      </w:r>
      <w:r w:rsidR="00617635" w:rsidRPr="00486D51">
        <w:t>of access</w:t>
      </w:r>
      <w:r w:rsidR="00A96D6B" w:rsidRPr="00486D51">
        <w:t xml:space="preserve"> </w:t>
      </w:r>
      <w:r w:rsidR="00D5097A" w:rsidRPr="00486D51">
        <w:t xml:space="preserve">to data </w:t>
      </w:r>
      <w:r w:rsidR="00A96D6B" w:rsidRPr="00486D51">
        <w:t>as a result of commercial arrangements</w:t>
      </w:r>
      <w:r w:rsidRPr="00486D51">
        <w:t>.</w:t>
      </w:r>
    </w:p>
    <w:p w:rsidR="00F8750D" w:rsidRPr="00AF2AE2" w:rsidRDefault="00F8750D" w:rsidP="00BF1D3F">
      <w:pPr>
        <w:pStyle w:val="Heading2"/>
      </w:pPr>
      <w:bookmarkStart w:id="35" w:name="_Toc450139402"/>
      <w:r w:rsidRPr="00AF2AE2">
        <w:t>Requirements</w:t>
      </w:r>
      <w:bookmarkEnd w:id="35"/>
    </w:p>
    <w:p w:rsidR="00F8750D" w:rsidRPr="00AF2AE2" w:rsidRDefault="00F8750D" w:rsidP="00F8750D">
      <w:r w:rsidRPr="00AF2AE2">
        <w:t>Each Directorate/agency will be expected to comply within the extent of its existing administrative capacity.</w:t>
      </w:r>
    </w:p>
    <w:p w:rsidR="00F8750D" w:rsidRPr="00AF2AE2" w:rsidRDefault="00F8750D" w:rsidP="00F8750D">
      <w:r w:rsidRPr="00AF2AE2">
        <w:t xml:space="preserve">Where databases include data elements that are exempt by law from public disclosure, such as personal information, exclude only the data elements that cannot be disclosed and release everything else if it is reasonable to do so. </w:t>
      </w:r>
    </w:p>
    <w:p w:rsidR="00F8750D" w:rsidRPr="00AF2AE2" w:rsidRDefault="000A7B27" w:rsidP="00F8750D">
      <w:pPr>
        <w:pStyle w:val="Tabletext"/>
        <w:spacing w:after="0"/>
      </w:pPr>
      <w:r w:rsidRPr="004C69C6">
        <w:rPr>
          <w:sz w:val="20"/>
          <w:szCs w:val="20"/>
        </w:rPr>
        <w:t xml:space="preserve">Directorates/Agencies remain the </w:t>
      </w:r>
      <w:r w:rsidR="00794660" w:rsidRPr="004C69C6">
        <w:rPr>
          <w:sz w:val="20"/>
          <w:szCs w:val="20"/>
        </w:rPr>
        <w:t>business owner of their data</w:t>
      </w:r>
      <w:r w:rsidR="00F8750D" w:rsidRPr="004C69C6">
        <w:rPr>
          <w:sz w:val="20"/>
          <w:szCs w:val="20"/>
        </w:rPr>
        <w:t>.</w:t>
      </w:r>
      <w:r w:rsidR="00321566" w:rsidRPr="004C69C6">
        <w:rPr>
          <w:sz w:val="20"/>
          <w:szCs w:val="20"/>
        </w:rPr>
        <w:t xml:space="preserve"> </w:t>
      </w:r>
      <w:r w:rsidRPr="004C69C6">
        <w:rPr>
          <w:sz w:val="20"/>
          <w:szCs w:val="20"/>
        </w:rPr>
        <w:t>Data business owners with</w:t>
      </w:r>
      <w:r w:rsidR="00321566" w:rsidRPr="004C69C6">
        <w:rPr>
          <w:sz w:val="20"/>
          <w:szCs w:val="20"/>
        </w:rPr>
        <w:t xml:space="preserve"> authority to release data may delegate this authority to an appropriate officer.</w:t>
      </w:r>
      <w:r w:rsidRPr="004C69C6">
        <w:rPr>
          <w:sz w:val="20"/>
          <w:szCs w:val="20"/>
        </w:rPr>
        <w:t xml:space="preserve"> Delegations shall be made in writing.</w:t>
      </w:r>
      <w:r w:rsidR="00F8750D" w:rsidRPr="00AF2AE2">
        <w:rPr>
          <w:sz w:val="20"/>
          <w:szCs w:val="20"/>
        </w:rPr>
        <w:t xml:space="preserve"> </w:t>
      </w:r>
    </w:p>
    <w:p w:rsidR="00F8750D" w:rsidRPr="00AF2AE2" w:rsidRDefault="00F8750D" w:rsidP="00F8750D">
      <w:pPr>
        <w:pStyle w:val="Tabletext"/>
        <w:spacing w:after="0"/>
      </w:pPr>
    </w:p>
    <w:p w:rsidR="00F8750D" w:rsidRPr="00AF2AE2" w:rsidRDefault="00F8750D" w:rsidP="00F8750D">
      <w:r w:rsidRPr="00AF2AE2">
        <w:t xml:space="preserve">Metadata must be included wherever possible, in accordance with appropriate standards, </w:t>
      </w:r>
      <w:r w:rsidR="00794660" w:rsidRPr="00AF2AE2">
        <w:t>for</w:t>
      </w:r>
      <w:r w:rsidRPr="00AF2AE2">
        <w:t xml:space="preserve"> data that is released. </w:t>
      </w:r>
      <w:bookmarkStart w:id="36" w:name="_Toc323209334"/>
      <w:bookmarkStart w:id="37" w:name="_Toc323209338"/>
      <w:bookmarkStart w:id="38" w:name="_Toc300215064"/>
      <w:bookmarkEnd w:id="32"/>
      <w:bookmarkEnd w:id="33"/>
      <w:bookmarkEnd w:id="34"/>
      <w:bookmarkEnd w:id="36"/>
      <w:bookmarkEnd w:id="37"/>
      <w:r w:rsidRPr="00AF2AE2">
        <w:t>During the implementation or upgrade of any information system, a review of data for publication must be conducted to ensure compliance with the Policy. Data must be published within a reasonable time frame, not exceeding three months after the installation or upgrade of the system.</w:t>
      </w:r>
    </w:p>
    <w:p w:rsidR="00F8750D" w:rsidRDefault="00F8750D" w:rsidP="00F8750D">
      <w:pPr>
        <w:pStyle w:val="BodyText"/>
      </w:pPr>
      <w:r w:rsidRPr="00AF2AE2">
        <w:t xml:space="preserve">Where new data is being collected, directorates and agencies must consider how they are to </w:t>
      </w:r>
      <w:r w:rsidRPr="00486D51">
        <w:t xml:space="preserve">collect the data so that it complies with the Policy, </w:t>
      </w:r>
      <w:r w:rsidR="00D6503C" w:rsidRPr="00486D51">
        <w:t xml:space="preserve">as well as </w:t>
      </w:r>
      <w:r w:rsidR="00617635" w:rsidRPr="00486D51">
        <w:t>the costs</w:t>
      </w:r>
      <w:r w:rsidR="00617635" w:rsidRPr="00A96D6B">
        <w:t xml:space="preserve"> associated, the priority order for release, </w:t>
      </w:r>
      <w:r w:rsidRPr="00A96D6B">
        <w:t>and implement processes to</w:t>
      </w:r>
      <w:r w:rsidRPr="00AF2AE2">
        <w:t xml:space="preserve"> enable this to occur. Directorates and agencies should refer to the </w:t>
      </w:r>
      <w:r w:rsidRPr="00AF2AE2">
        <w:rPr>
          <w:i/>
        </w:rPr>
        <w:t>Open Data Standard Operating Procedures</w:t>
      </w:r>
      <w:r w:rsidRPr="00AF2AE2">
        <w:t xml:space="preserve"> (SOPs) in the first instance and contact</w:t>
      </w:r>
      <w:r w:rsidR="00377296">
        <w:t xml:space="preserve"> the</w:t>
      </w:r>
      <w:r w:rsidRPr="00AF2AE2">
        <w:t xml:space="preserve"> </w:t>
      </w:r>
      <w:r w:rsidR="00056D1F">
        <w:t>OCDO</w:t>
      </w:r>
      <w:r w:rsidR="00056D1F" w:rsidRPr="00AF2AE2">
        <w:t xml:space="preserve"> </w:t>
      </w:r>
      <w:r w:rsidRPr="00AF2AE2">
        <w:t>if they are unsure or need assistance in determining how to achieve this.</w:t>
      </w:r>
    </w:p>
    <w:p w:rsidR="00F8750D" w:rsidRPr="00AF2AE2" w:rsidRDefault="00F8750D" w:rsidP="00BF1D3F">
      <w:pPr>
        <w:pStyle w:val="Heading2"/>
      </w:pPr>
      <w:bookmarkStart w:id="39" w:name="_Toc450139403"/>
      <w:r w:rsidRPr="00AF2AE2">
        <w:t>Roles and responsibilities</w:t>
      </w:r>
      <w:bookmarkEnd w:id="39"/>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809"/>
        <w:gridCol w:w="4395"/>
        <w:gridCol w:w="3082"/>
      </w:tblGrid>
      <w:tr w:rsidR="00F8750D" w:rsidRPr="00AF2AE2" w:rsidTr="002451A1">
        <w:trPr>
          <w:tblHeader/>
        </w:trPr>
        <w:tc>
          <w:tcPr>
            <w:tcW w:w="1809" w:type="dxa"/>
          </w:tcPr>
          <w:p w:rsidR="00F8750D" w:rsidRPr="00AF2AE2" w:rsidRDefault="00F8750D" w:rsidP="00FC1D0A">
            <w:pPr>
              <w:pStyle w:val="TableHeading"/>
            </w:pPr>
            <w:r w:rsidRPr="00AF2AE2">
              <w:t>Role</w:t>
            </w:r>
          </w:p>
        </w:tc>
        <w:tc>
          <w:tcPr>
            <w:tcW w:w="4395" w:type="dxa"/>
          </w:tcPr>
          <w:p w:rsidR="00F8750D" w:rsidRPr="00AF2AE2" w:rsidRDefault="00F8750D" w:rsidP="00FC1D0A">
            <w:pPr>
              <w:pStyle w:val="TableHeading"/>
            </w:pPr>
            <w:r w:rsidRPr="00AF2AE2">
              <w:t>Responsibilities</w:t>
            </w:r>
          </w:p>
        </w:tc>
        <w:tc>
          <w:tcPr>
            <w:tcW w:w="3082" w:type="dxa"/>
          </w:tcPr>
          <w:p w:rsidR="00F8750D" w:rsidRPr="00AF2AE2" w:rsidRDefault="00F8750D" w:rsidP="00FC1D0A">
            <w:pPr>
              <w:pStyle w:val="TableHeading"/>
            </w:pPr>
            <w:r w:rsidRPr="00AF2AE2">
              <w:t xml:space="preserve">Position </w:t>
            </w:r>
          </w:p>
        </w:tc>
      </w:tr>
      <w:tr w:rsidR="00F8750D" w:rsidRPr="00AF2AE2" w:rsidTr="002451A1">
        <w:trPr>
          <w:tblHeader/>
        </w:trPr>
        <w:tc>
          <w:tcPr>
            <w:tcW w:w="1809" w:type="dxa"/>
          </w:tcPr>
          <w:p w:rsidR="00F8750D" w:rsidRPr="00AF2AE2" w:rsidRDefault="00F8750D" w:rsidP="00FC1D0A">
            <w:pPr>
              <w:pStyle w:val="Tabletext"/>
            </w:pPr>
            <w:r w:rsidRPr="00AF2AE2">
              <w:t xml:space="preserve">All staff </w:t>
            </w:r>
          </w:p>
        </w:tc>
        <w:tc>
          <w:tcPr>
            <w:tcW w:w="4395" w:type="dxa"/>
          </w:tcPr>
          <w:p w:rsidR="00F8750D" w:rsidRPr="00AF2AE2" w:rsidRDefault="00F8750D" w:rsidP="00192853">
            <w:pPr>
              <w:pStyle w:val="Tabletext"/>
              <w:numPr>
                <w:ilvl w:val="0"/>
                <w:numId w:val="33"/>
              </w:numPr>
            </w:pPr>
            <w:r w:rsidRPr="00AF2AE2">
              <w:t>Actively supports and contributes to open data initiatives.</w:t>
            </w:r>
          </w:p>
        </w:tc>
        <w:tc>
          <w:tcPr>
            <w:tcW w:w="3082" w:type="dxa"/>
          </w:tcPr>
          <w:p w:rsidR="00F8750D" w:rsidRPr="00AF2AE2" w:rsidRDefault="00F8750D" w:rsidP="00FC1D0A">
            <w:pPr>
              <w:pStyle w:val="Tabletext"/>
              <w:rPr>
                <w:rFonts w:cs="Tahoma"/>
              </w:rPr>
            </w:pPr>
            <w:r w:rsidRPr="00AF2AE2">
              <w:rPr>
                <w:rFonts w:cs="Tahoma"/>
              </w:rPr>
              <w:t>Permanent, temporary and casual ACT Government employees.</w:t>
            </w:r>
          </w:p>
          <w:p w:rsidR="00F8750D" w:rsidRPr="00AF2AE2" w:rsidRDefault="00F8750D" w:rsidP="00FC1D0A">
            <w:pPr>
              <w:pStyle w:val="Tabletext"/>
              <w:rPr>
                <w:rFonts w:cs="Tahoma"/>
              </w:rPr>
            </w:pPr>
            <w:r w:rsidRPr="00AF2AE2">
              <w:rPr>
                <w:rFonts w:cs="Tahoma"/>
              </w:rPr>
              <w:t>Non-government staff including contractors, consultants and volunteers.</w:t>
            </w:r>
          </w:p>
        </w:tc>
      </w:tr>
      <w:tr w:rsidR="000A7B27" w:rsidRPr="00B877A0" w:rsidTr="002451A1">
        <w:trPr>
          <w:tblHeader/>
        </w:trPr>
        <w:tc>
          <w:tcPr>
            <w:tcW w:w="1809" w:type="dxa"/>
          </w:tcPr>
          <w:p w:rsidR="000A7B27" w:rsidRPr="00B877A0" w:rsidRDefault="000A7B27" w:rsidP="00FC1D0A">
            <w:pPr>
              <w:pStyle w:val="Tabletext"/>
            </w:pPr>
            <w:r w:rsidRPr="00B877A0">
              <w:t>Data Business Owner</w:t>
            </w:r>
          </w:p>
        </w:tc>
        <w:tc>
          <w:tcPr>
            <w:tcW w:w="4395" w:type="dxa"/>
          </w:tcPr>
          <w:p w:rsidR="000A7B27" w:rsidRPr="00A96D6B" w:rsidRDefault="000A7B27" w:rsidP="00192853">
            <w:pPr>
              <w:pStyle w:val="Tabletext"/>
              <w:numPr>
                <w:ilvl w:val="0"/>
                <w:numId w:val="33"/>
              </w:numPr>
            </w:pPr>
            <w:r w:rsidRPr="00A96D6B">
              <w:t>Provide authorisation for the release of data.</w:t>
            </w:r>
          </w:p>
        </w:tc>
        <w:tc>
          <w:tcPr>
            <w:tcW w:w="3082" w:type="dxa"/>
          </w:tcPr>
          <w:p w:rsidR="000A7B27" w:rsidRPr="00B877A0" w:rsidRDefault="000A7B27" w:rsidP="00FC1D0A">
            <w:pPr>
              <w:pStyle w:val="Tabletext"/>
              <w:rPr>
                <w:rFonts w:cs="Tahoma"/>
              </w:rPr>
            </w:pPr>
            <w:r w:rsidRPr="00B877A0">
              <w:rPr>
                <w:rFonts w:cs="Tahoma"/>
              </w:rPr>
              <w:t>As identified by the Directorate/agency.</w:t>
            </w:r>
          </w:p>
        </w:tc>
      </w:tr>
      <w:tr w:rsidR="00F8750D" w:rsidRPr="00B877A0" w:rsidTr="002451A1">
        <w:trPr>
          <w:tblHeader/>
        </w:trPr>
        <w:tc>
          <w:tcPr>
            <w:tcW w:w="1809" w:type="dxa"/>
          </w:tcPr>
          <w:p w:rsidR="00F8750D" w:rsidRPr="00B877A0" w:rsidRDefault="00F8750D" w:rsidP="00FC1D0A">
            <w:pPr>
              <w:pStyle w:val="Tabletext"/>
            </w:pPr>
            <w:r w:rsidRPr="00B877A0">
              <w:t>Data Custodian</w:t>
            </w:r>
          </w:p>
        </w:tc>
        <w:tc>
          <w:tcPr>
            <w:tcW w:w="4395" w:type="dxa"/>
          </w:tcPr>
          <w:p w:rsidR="00F8750D" w:rsidRPr="00A96D6B" w:rsidRDefault="00F8750D" w:rsidP="00CB1043">
            <w:pPr>
              <w:pStyle w:val="Tabletext"/>
              <w:numPr>
                <w:ilvl w:val="0"/>
                <w:numId w:val="34"/>
              </w:numPr>
            </w:pPr>
            <w:r w:rsidRPr="00A96D6B">
              <w:t>Creates or manages government data in accordance with the Policy requirements.</w:t>
            </w:r>
            <w:r w:rsidR="000A7B2E" w:rsidRPr="00A96D6B">
              <w:t xml:space="preserve"> </w:t>
            </w:r>
          </w:p>
          <w:p w:rsidR="00CB1043" w:rsidRPr="00A96D6B" w:rsidRDefault="00CB1043" w:rsidP="00CB1043">
            <w:pPr>
              <w:pStyle w:val="Tabletext"/>
              <w:numPr>
                <w:ilvl w:val="0"/>
                <w:numId w:val="34"/>
              </w:numPr>
            </w:pPr>
            <w:r w:rsidRPr="00A96D6B">
              <w:t>Develops the directorates Open Data plan</w:t>
            </w:r>
          </w:p>
          <w:p w:rsidR="00CB1043" w:rsidRPr="00A96D6B" w:rsidRDefault="00CB1043" w:rsidP="00CB1043">
            <w:pPr>
              <w:pStyle w:val="Tabletext"/>
              <w:numPr>
                <w:ilvl w:val="0"/>
                <w:numId w:val="34"/>
              </w:numPr>
            </w:pPr>
            <w:r w:rsidRPr="00A96D6B">
              <w:t>Consults with communities of interest to determine dataset priorities</w:t>
            </w:r>
          </w:p>
          <w:p w:rsidR="00CB1043" w:rsidRPr="00A96D6B" w:rsidRDefault="00CB1043" w:rsidP="00CB1043">
            <w:pPr>
              <w:pStyle w:val="Tabletext"/>
              <w:numPr>
                <w:ilvl w:val="0"/>
                <w:numId w:val="34"/>
              </w:numPr>
            </w:pPr>
            <w:r w:rsidRPr="00486D51">
              <w:t>Contribute</w:t>
            </w:r>
            <w:r w:rsidR="00D6503C" w:rsidRPr="00486D51">
              <w:t>s</w:t>
            </w:r>
            <w:r w:rsidRPr="00486D51">
              <w:t xml:space="preserve"> t</w:t>
            </w:r>
            <w:r w:rsidRPr="00A96D6B">
              <w:t>o the development and maintenance of the Standard Operating Procedures</w:t>
            </w:r>
          </w:p>
        </w:tc>
        <w:tc>
          <w:tcPr>
            <w:tcW w:w="3082" w:type="dxa"/>
          </w:tcPr>
          <w:p w:rsidR="00F8750D" w:rsidRPr="00B877A0" w:rsidRDefault="00F8750D" w:rsidP="00FC1D0A">
            <w:pPr>
              <w:pStyle w:val="Tabletext"/>
            </w:pPr>
            <w:r w:rsidRPr="00B877A0">
              <w:t>As nominated by the Directorate/agency.</w:t>
            </w:r>
          </w:p>
        </w:tc>
      </w:tr>
      <w:tr w:rsidR="00F8750D" w:rsidRPr="00AF2AE2" w:rsidTr="002451A1">
        <w:trPr>
          <w:tblHeader/>
        </w:trPr>
        <w:tc>
          <w:tcPr>
            <w:tcW w:w="1809" w:type="dxa"/>
          </w:tcPr>
          <w:p w:rsidR="00F8750D" w:rsidRPr="00B877A0" w:rsidRDefault="00CA2332" w:rsidP="00FC1D0A">
            <w:pPr>
              <w:pStyle w:val="Tabletext"/>
            </w:pPr>
            <w:r w:rsidRPr="00B877A0">
              <w:lastRenderedPageBreak/>
              <w:t>OCDO</w:t>
            </w:r>
          </w:p>
        </w:tc>
        <w:tc>
          <w:tcPr>
            <w:tcW w:w="4395" w:type="dxa"/>
          </w:tcPr>
          <w:p w:rsidR="00F8750D" w:rsidRPr="00A96D6B" w:rsidRDefault="00D616A1" w:rsidP="008F2CA3">
            <w:pPr>
              <w:pStyle w:val="Tabletext"/>
              <w:numPr>
                <w:ilvl w:val="0"/>
                <w:numId w:val="33"/>
              </w:numPr>
            </w:pPr>
            <w:r w:rsidRPr="00A96D6B">
              <w:t>Co-ordinates</w:t>
            </w:r>
            <w:r w:rsidR="004F111F" w:rsidRPr="00A96D6B">
              <w:t xml:space="preserve"> a Whole of Government Working Group </w:t>
            </w:r>
            <w:r w:rsidR="008F2CA3" w:rsidRPr="00A96D6B">
              <w:t>that will</w:t>
            </w:r>
            <w:r w:rsidR="004F111F" w:rsidRPr="00A96D6B">
              <w:t xml:space="preserve"> </w:t>
            </w:r>
            <w:r w:rsidR="008F2CA3" w:rsidRPr="00A96D6B">
              <w:t xml:space="preserve">prepare Standard Operating Procedures, </w:t>
            </w:r>
            <w:r w:rsidR="004F111F" w:rsidRPr="00A96D6B">
              <w:t>c</w:t>
            </w:r>
            <w:r w:rsidR="00F8750D" w:rsidRPr="00A96D6B">
              <w:t>ommunicat</w:t>
            </w:r>
            <w:r w:rsidR="008F2CA3" w:rsidRPr="00A96D6B">
              <w:t>e</w:t>
            </w:r>
            <w:r w:rsidR="00F8750D" w:rsidRPr="00A96D6B">
              <w:t xml:space="preserve"> </w:t>
            </w:r>
            <w:r w:rsidR="004F111F" w:rsidRPr="00A96D6B">
              <w:t xml:space="preserve">the </w:t>
            </w:r>
            <w:r w:rsidR="00F8750D" w:rsidRPr="00A96D6B">
              <w:t>strategic value of open data to stakeholders, provid</w:t>
            </w:r>
            <w:r w:rsidR="008F2CA3" w:rsidRPr="00A96D6B">
              <w:t>e</w:t>
            </w:r>
            <w:r w:rsidR="00F8750D" w:rsidRPr="00A96D6B">
              <w:t xml:space="preserve"> advice</w:t>
            </w:r>
            <w:r w:rsidR="008F2CA3" w:rsidRPr="00A96D6B">
              <w:t xml:space="preserve"> on open data</w:t>
            </w:r>
            <w:r w:rsidR="00F8750D" w:rsidRPr="00A96D6B">
              <w:t xml:space="preserve"> and support policy implementation.</w:t>
            </w:r>
          </w:p>
          <w:p w:rsidR="00192853" w:rsidRPr="00A96D6B" w:rsidRDefault="00192853" w:rsidP="008F2CA3">
            <w:pPr>
              <w:pStyle w:val="Tabletext"/>
              <w:numPr>
                <w:ilvl w:val="0"/>
                <w:numId w:val="33"/>
              </w:numPr>
            </w:pPr>
            <w:r w:rsidRPr="00A96D6B">
              <w:t>Maintains a central register of Open Data Plans</w:t>
            </w:r>
          </w:p>
        </w:tc>
        <w:tc>
          <w:tcPr>
            <w:tcW w:w="3082" w:type="dxa"/>
          </w:tcPr>
          <w:p w:rsidR="00F8750D" w:rsidRPr="00AF2AE2" w:rsidRDefault="00BB6203" w:rsidP="00FC1D0A">
            <w:pPr>
              <w:pStyle w:val="Tabletext"/>
              <w:rPr>
                <w:rFonts w:ascii="Tahoma" w:hAnsi="Tahoma" w:cs="Tahoma"/>
              </w:rPr>
            </w:pPr>
            <w:r w:rsidRPr="00B877A0">
              <w:t>Chief Digital Officer</w:t>
            </w:r>
            <w:r w:rsidR="00F8750D" w:rsidRPr="00B877A0">
              <w:t xml:space="preserve"> or a nominated delegate.</w:t>
            </w:r>
          </w:p>
        </w:tc>
      </w:tr>
      <w:tr w:rsidR="00F8750D" w:rsidRPr="00AF2AE2" w:rsidTr="002451A1">
        <w:trPr>
          <w:tblHeader/>
        </w:trPr>
        <w:tc>
          <w:tcPr>
            <w:tcW w:w="1809" w:type="dxa"/>
          </w:tcPr>
          <w:p w:rsidR="00F8750D" w:rsidRPr="00AF2AE2" w:rsidRDefault="00F8750D" w:rsidP="00FC1D0A">
            <w:pPr>
              <w:pStyle w:val="Tabletext"/>
            </w:pPr>
            <w:r w:rsidRPr="00AF2AE2">
              <w:t>Technical Support</w:t>
            </w:r>
          </w:p>
        </w:tc>
        <w:tc>
          <w:tcPr>
            <w:tcW w:w="4395" w:type="dxa"/>
          </w:tcPr>
          <w:p w:rsidR="00F8750D" w:rsidRPr="00AF2AE2" w:rsidRDefault="00F8750D" w:rsidP="00192853">
            <w:pPr>
              <w:pStyle w:val="Tabletext"/>
              <w:numPr>
                <w:ilvl w:val="0"/>
                <w:numId w:val="33"/>
              </w:numPr>
            </w:pPr>
            <w:r w:rsidRPr="00AF2AE2">
              <w:t>Provides technical assurance and management for the publication of data.</w:t>
            </w:r>
          </w:p>
        </w:tc>
        <w:tc>
          <w:tcPr>
            <w:tcW w:w="3082" w:type="dxa"/>
          </w:tcPr>
          <w:p w:rsidR="00F8750D" w:rsidRPr="00AF2AE2" w:rsidRDefault="00F8750D" w:rsidP="00FC1D0A">
            <w:pPr>
              <w:pStyle w:val="Tabletext"/>
              <w:rPr>
                <w:rFonts w:cs="Tahoma"/>
              </w:rPr>
            </w:pPr>
            <w:r w:rsidRPr="00AF2AE2">
              <w:rPr>
                <w:rFonts w:cs="Tahoma"/>
              </w:rPr>
              <w:t>Shared Services ICT</w:t>
            </w:r>
          </w:p>
        </w:tc>
      </w:tr>
    </w:tbl>
    <w:p w:rsidR="00F8750D" w:rsidRPr="00AF2AE2" w:rsidRDefault="00F8750D" w:rsidP="00F8750D">
      <w:pPr>
        <w:suppressAutoHyphens w:val="0"/>
        <w:spacing w:after="0"/>
        <w:rPr>
          <w:b/>
        </w:rPr>
      </w:pPr>
    </w:p>
    <w:p w:rsidR="00F8750D" w:rsidRPr="00AF2AE2" w:rsidRDefault="00462D0F" w:rsidP="00BF1D3F">
      <w:pPr>
        <w:pStyle w:val="Heading2"/>
      </w:pPr>
      <w:bookmarkStart w:id="40" w:name="_Toc450139404"/>
      <w:r>
        <w:t>Implementation and c</w:t>
      </w:r>
      <w:r w:rsidR="00FD384A">
        <w:t>onsultation</w:t>
      </w:r>
      <w:bookmarkEnd w:id="40"/>
    </w:p>
    <w:p w:rsidR="00F8750D" w:rsidRPr="00A96D6B" w:rsidRDefault="00417750" w:rsidP="00F8750D">
      <w:r>
        <w:t>E</w:t>
      </w:r>
      <w:r w:rsidR="00F8750D" w:rsidRPr="00AF2AE2">
        <w:t xml:space="preserve">ach </w:t>
      </w:r>
      <w:r w:rsidR="00F8750D" w:rsidRPr="00A96D6B">
        <w:t xml:space="preserve">Directorate is required to prepare and implement a plan for the publication of open data </w:t>
      </w:r>
      <w:r w:rsidR="00ED49D7">
        <w:t xml:space="preserve">in accordance with relevant </w:t>
      </w:r>
      <w:r w:rsidR="002334A3">
        <w:t>Standard Operating Procedures (SOPs)</w:t>
      </w:r>
      <w:r w:rsidR="00F8750D" w:rsidRPr="00A96D6B">
        <w:t xml:space="preserve">. </w:t>
      </w:r>
      <w:r w:rsidR="00FD384A" w:rsidRPr="00A96D6B">
        <w:t>The plan should take into account the viability, sustainability</w:t>
      </w:r>
      <w:r w:rsidR="0089790E" w:rsidRPr="00A96D6B">
        <w:t>,</w:t>
      </w:r>
      <w:r w:rsidR="00FD384A" w:rsidRPr="00A96D6B">
        <w:t xml:space="preserve"> </w:t>
      </w:r>
      <w:r w:rsidR="00ED01E9" w:rsidRPr="00A96D6B">
        <w:t>interest</w:t>
      </w:r>
      <w:r w:rsidR="0089790E" w:rsidRPr="00A96D6B">
        <w:t xml:space="preserve"> and importance</w:t>
      </w:r>
      <w:r w:rsidR="00ED01E9" w:rsidRPr="00A96D6B">
        <w:t xml:space="preserve"> of the datasets to be implemented, and should prioritise the implementation based on these factors. </w:t>
      </w:r>
      <w:r w:rsidR="00CB1043" w:rsidRPr="00A96D6B">
        <w:t xml:space="preserve">Plans should be updated and sent to the OCDO annually. </w:t>
      </w:r>
      <w:r w:rsidR="00F8750D" w:rsidRPr="00A96D6B">
        <w:t>Directorates and agencies should refer to the SOPs for a template to help them develop a customised open data plan.</w:t>
      </w:r>
    </w:p>
    <w:p w:rsidR="00F8750D" w:rsidRPr="00AF2AE2" w:rsidRDefault="00ED01E9" w:rsidP="00BF1D3F">
      <w:r w:rsidRPr="00A96D6B">
        <w:t xml:space="preserve">In addition, directorates should </w:t>
      </w:r>
      <w:r w:rsidR="0092601C" w:rsidRPr="00A96D6B">
        <w:t xml:space="preserve">consult with their communities of interest to determine demand and priorities </w:t>
      </w:r>
      <w:r w:rsidR="0092601C" w:rsidRPr="00486D51">
        <w:t xml:space="preserve">for </w:t>
      </w:r>
      <w:r w:rsidR="00D6503C" w:rsidRPr="00486D51">
        <w:t xml:space="preserve">the </w:t>
      </w:r>
      <w:r w:rsidR="0092601C" w:rsidRPr="00486D51">
        <w:t>release</w:t>
      </w:r>
      <w:r w:rsidR="0092601C" w:rsidRPr="00A96D6B">
        <w:t xml:space="preserve"> of datasets.</w:t>
      </w:r>
    </w:p>
    <w:p w:rsidR="00F8750D" w:rsidRPr="00AF2AE2" w:rsidRDefault="00F8750D" w:rsidP="00BF1D3F">
      <w:pPr>
        <w:pStyle w:val="Heading2"/>
      </w:pPr>
      <w:bookmarkStart w:id="41" w:name="_Toc450139405"/>
      <w:r w:rsidRPr="00AF2AE2">
        <w:t>Considerations</w:t>
      </w:r>
      <w:bookmarkEnd w:id="41"/>
    </w:p>
    <w:p w:rsidR="00F8750D" w:rsidRPr="00AF2AE2" w:rsidRDefault="00F8750D" w:rsidP="00BF1D3F">
      <w:pPr>
        <w:pStyle w:val="Heading3"/>
      </w:pPr>
      <w:bookmarkStart w:id="42" w:name="_Toc450139406"/>
      <w:r w:rsidRPr="00AF2AE2">
        <w:t>Standard Operating Procedures</w:t>
      </w:r>
      <w:bookmarkEnd w:id="42"/>
    </w:p>
    <w:p w:rsidR="00F8750D" w:rsidRPr="00AF2AE2" w:rsidRDefault="000A7B2E" w:rsidP="00F8750D">
      <w:pPr>
        <w:pStyle w:val="BodyText"/>
      </w:pPr>
      <w:r w:rsidRPr="00B877A0">
        <w:t>SOP</w:t>
      </w:r>
      <w:r w:rsidR="00F8750D" w:rsidRPr="00B877A0">
        <w:t>s</w:t>
      </w:r>
      <w:r w:rsidRPr="00B877A0">
        <w:t xml:space="preserve"> will be developed by the OCDO in consultation </w:t>
      </w:r>
      <w:r w:rsidR="00F80437" w:rsidRPr="00B877A0">
        <w:t xml:space="preserve">with </w:t>
      </w:r>
      <w:r w:rsidRPr="00B877A0">
        <w:t>Directorates/Agencies</w:t>
      </w:r>
      <w:r w:rsidR="00F8750D" w:rsidRPr="00B877A0">
        <w:t xml:space="preserve"> to inform the practical application of the Policy.</w:t>
      </w:r>
      <w:r w:rsidRPr="00B877A0">
        <w:t xml:space="preserve"> Variations may be made to the SOPs by Directorates/Agencies, with the agreement of the OCDO, to allow effective application within a Directorate/Agency.</w:t>
      </w:r>
      <w:r w:rsidR="00F8750D" w:rsidRPr="00B877A0">
        <w:t xml:space="preserve"> Please refer to </w:t>
      </w:r>
      <w:r w:rsidRPr="00B877A0">
        <w:t>Directorate/A</w:t>
      </w:r>
      <w:r w:rsidR="00C34994" w:rsidRPr="00B877A0">
        <w:t>gency</w:t>
      </w:r>
      <w:r w:rsidR="00F8750D" w:rsidRPr="00B877A0">
        <w:t xml:space="preserve"> SOPs when applying this Policy.</w:t>
      </w:r>
    </w:p>
    <w:p w:rsidR="00F8750D" w:rsidRPr="00AF2AE2" w:rsidRDefault="00F8750D" w:rsidP="00BF1D3F">
      <w:pPr>
        <w:pStyle w:val="Heading3"/>
      </w:pPr>
      <w:bookmarkStart w:id="43" w:name="_Toc450139407"/>
      <w:r w:rsidRPr="00AF2AE2">
        <w:t>Legal</w:t>
      </w:r>
      <w:bookmarkEnd w:id="43"/>
    </w:p>
    <w:p w:rsidR="00F8750D" w:rsidRPr="00AF2AE2" w:rsidRDefault="00F8750D" w:rsidP="00F8750D">
      <w:r w:rsidRPr="00AF2AE2">
        <w:t>Data must not be published where this would breach any law or be inconsistent with any</w:t>
      </w:r>
      <w:r w:rsidR="00ED3124">
        <w:t xml:space="preserve"> other</w:t>
      </w:r>
      <w:r w:rsidRPr="00AF2AE2">
        <w:t xml:space="preserve"> Standard, Guideline or Policy concerning government information and data. Before an ACT Government agency or employee publishes data they must be mindful that:</w:t>
      </w:r>
    </w:p>
    <w:p w:rsidR="00F8750D" w:rsidRPr="00AF2AE2" w:rsidRDefault="00F8750D" w:rsidP="00F8750D">
      <w:pPr>
        <w:pStyle w:val="ListBullet"/>
        <w:ind w:left="357" w:hanging="357"/>
      </w:pPr>
      <w:r w:rsidRPr="00AF2AE2">
        <w:t xml:space="preserve">unauthorised disclosure may constitute a breach of legislation such as the </w:t>
      </w:r>
      <w:r w:rsidRPr="00AF2AE2">
        <w:rPr>
          <w:i/>
        </w:rPr>
        <w:t>Information Privacy Act 2014</w:t>
      </w:r>
      <w:r w:rsidRPr="00AF2AE2">
        <w:t xml:space="preserve">, the Territory </w:t>
      </w:r>
      <w:r w:rsidRPr="00AF2AE2">
        <w:rPr>
          <w:i/>
        </w:rPr>
        <w:t>Health Records (Privacy and Access) Act 1997</w:t>
      </w:r>
      <w:r w:rsidRPr="00AF2AE2">
        <w:t xml:space="preserve">, the Territory </w:t>
      </w:r>
      <w:r w:rsidRPr="00AF2AE2">
        <w:rPr>
          <w:i/>
        </w:rPr>
        <w:t>Workplace Privacy Act 2011</w:t>
      </w:r>
      <w:r w:rsidRPr="00AF2AE2">
        <w:t xml:space="preserve">, the Territory </w:t>
      </w:r>
      <w:r w:rsidRPr="00AF2AE2">
        <w:rPr>
          <w:i/>
        </w:rPr>
        <w:t>Children and Young People Act 2008,</w:t>
      </w:r>
      <w:r w:rsidRPr="00AF2AE2">
        <w:t xml:space="preserve"> the Territory </w:t>
      </w:r>
      <w:r w:rsidRPr="00AF2AE2">
        <w:rPr>
          <w:i/>
        </w:rPr>
        <w:t>Public Interest Disclosure Act 2012</w:t>
      </w:r>
      <w:r w:rsidRPr="00AF2AE2">
        <w:t xml:space="preserve">, or the </w:t>
      </w:r>
      <w:r w:rsidRPr="00AF2AE2">
        <w:rPr>
          <w:i/>
        </w:rPr>
        <w:t>Public Sector Management Act 1994</w:t>
      </w:r>
      <w:r w:rsidRPr="00AF2AE2">
        <w:t xml:space="preserve">; and </w:t>
      </w:r>
    </w:p>
    <w:p w:rsidR="00F8750D" w:rsidRPr="00AF2AE2" w:rsidRDefault="00F8750D" w:rsidP="00F8750D">
      <w:pPr>
        <w:pStyle w:val="ListBullet"/>
        <w:ind w:left="357" w:hanging="357"/>
      </w:pPr>
      <w:proofErr w:type="gramStart"/>
      <w:r w:rsidRPr="00AF2AE2">
        <w:t>confidentiality</w:t>
      </w:r>
      <w:proofErr w:type="gramEnd"/>
      <w:r w:rsidRPr="00AF2AE2">
        <w:t>, privacy and classification standards (</w:t>
      </w:r>
      <w:r w:rsidRPr="00AF2AE2">
        <w:rPr>
          <w:i/>
        </w:rPr>
        <w:t>ACT Government Protective Security Policy and Guidelines</w:t>
      </w:r>
      <w:r w:rsidRPr="00AF2AE2">
        <w:t>) apply to disclosure of data, practices</w:t>
      </w:r>
      <w:r w:rsidR="008B089D">
        <w:t>,</w:t>
      </w:r>
      <w:r w:rsidRPr="00AF2AE2">
        <w:t xml:space="preserve"> and requirements to the storage, retrieval, access and dissemination of information.</w:t>
      </w:r>
    </w:p>
    <w:p w:rsidR="00F8750D" w:rsidRPr="00AF2AE2" w:rsidRDefault="00F8750D" w:rsidP="00F8750D">
      <w:pPr>
        <w:pStyle w:val="ListBullet"/>
        <w:numPr>
          <w:ilvl w:val="0"/>
          <w:numId w:val="0"/>
        </w:numPr>
      </w:pPr>
      <w:r w:rsidRPr="00AF2AE2">
        <w:t>Note that in some cases, while disclosure under the FOI Act may be authorised, this may not always equate to authorisation to public release such as publishing on a website that can be openly accessed by a member of the general public.</w:t>
      </w:r>
    </w:p>
    <w:p w:rsidR="00F8750D" w:rsidRPr="00AF2AE2" w:rsidRDefault="00F8750D" w:rsidP="00F8750D">
      <w:pPr>
        <w:pStyle w:val="ListBullet"/>
        <w:numPr>
          <w:ilvl w:val="0"/>
          <w:numId w:val="0"/>
        </w:numPr>
      </w:pPr>
    </w:p>
    <w:p w:rsidR="00F8750D" w:rsidRPr="00AF2AE2" w:rsidRDefault="00F8750D" w:rsidP="00BF1D3F">
      <w:pPr>
        <w:pStyle w:val="Heading3"/>
      </w:pPr>
      <w:bookmarkStart w:id="44" w:name="_Toc450139408"/>
      <w:r w:rsidRPr="00AF2AE2">
        <w:lastRenderedPageBreak/>
        <w:t>Personal information and information that is reasonably identifiable</w:t>
      </w:r>
      <w:bookmarkEnd w:id="44"/>
      <w:r w:rsidRPr="00AF2AE2">
        <w:t xml:space="preserve"> </w:t>
      </w:r>
    </w:p>
    <w:p w:rsidR="00F8750D" w:rsidRPr="00AF2AE2" w:rsidRDefault="00F8750D" w:rsidP="00F8750D">
      <w:pPr>
        <w:pStyle w:val="BodyText"/>
        <w:rPr>
          <w:rFonts w:cs="Arial"/>
        </w:rPr>
      </w:pPr>
      <w:r w:rsidRPr="00AF2AE2">
        <w:rPr>
          <w:rFonts w:cs="Arial"/>
        </w:rPr>
        <w:t>Personal information is information or an opinion about an identified individual or an individual who is reasonably identifiable –</w:t>
      </w:r>
    </w:p>
    <w:p w:rsidR="0007731F" w:rsidRDefault="00F8750D">
      <w:pPr>
        <w:pStyle w:val="BodyText"/>
        <w:numPr>
          <w:ilvl w:val="0"/>
          <w:numId w:val="35"/>
        </w:numPr>
        <w:rPr>
          <w:rFonts w:cs="Arial"/>
        </w:rPr>
      </w:pPr>
      <w:r w:rsidRPr="00AF2AE2">
        <w:rPr>
          <w:rFonts w:cs="Arial"/>
        </w:rPr>
        <w:t>whether the information is true or opinion is true or not; and</w:t>
      </w:r>
    </w:p>
    <w:p w:rsidR="0007731F" w:rsidRDefault="00F8750D">
      <w:pPr>
        <w:pStyle w:val="BodyText"/>
        <w:numPr>
          <w:ilvl w:val="0"/>
          <w:numId w:val="35"/>
        </w:numPr>
        <w:rPr>
          <w:rFonts w:cs="Arial"/>
        </w:rPr>
      </w:pPr>
      <w:r w:rsidRPr="00AF2AE2">
        <w:rPr>
          <w:rFonts w:cs="Arial"/>
        </w:rPr>
        <w:t>whether the information or opinion is recorded in a material form or not;</w:t>
      </w:r>
    </w:p>
    <w:p w:rsidR="00F8750D" w:rsidRPr="00AF2AE2" w:rsidRDefault="00F8750D" w:rsidP="00F8750D">
      <w:pPr>
        <w:pStyle w:val="BodyText"/>
        <w:rPr>
          <w:rFonts w:cs="Arial"/>
        </w:rPr>
      </w:pPr>
      <w:proofErr w:type="gramStart"/>
      <w:r w:rsidRPr="00AF2AE2">
        <w:rPr>
          <w:rFonts w:cs="Arial"/>
        </w:rPr>
        <w:t>but</w:t>
      </w:r>
      <w:proofErr w:type="gramEnd"/>
      <w:r w:rsidRPr="00AF2AE2">
        <w:rPr>
          <w:rFonts w:cs="Arial"/>
        </w:rPr>
        <w:t xml:space="preserve"> does not include personal health information.</w:t>
      </w:r>
    </w:p>
    <w:p w:rsidR="00F8750D" w:rsidRPr="00AF2AE2" w:rsidRDefault="00F8750D" w:rsidP="00F8750D">
      <w:pPr>
        <w:pStyle w:val="BodyText"/>
        <w:rPr>
          <w:rFonts w:cs="Arial"/>
        </w:rPr>
      </w:pPr>
      <w:r w:rsidRPr="00AF2AE2">
        <w:rPr>
          <w:rFonts w:cs="Arial"/>
        </w:rPr>
        <w:t xml:space="preserve">Information is reasonably identifiable if it is information that can be used to determine an individual’s identity, either by itself or when combined with other pieces of information that can be put together to identify an individual. </w:t>
      </w:r>
    </w:p>
    <w:p w:rsidR="00F8750D" w:rsidRPr="00AF2AE2" w:rsidRDefault="00F8750D" w:rsidP="00BF1D3F">
      <w:pPr>
        <w:pStyle w:val="Heading2"/>
      </w:pPr>
      <w:bookmarkStart w:id="45" w:name="_Toc450139409"/>
      <w:r w:rsidRPr="00AF2AE2">
        <w:t>Associated legislation, policies and standards</w:t>
      </w:r>
      <w:bookmarkEnd w:id="38"/>
      <w:bookmarkEnd w:id="45"/>
    </w:p>
    <w:p w:rsidR="00F8750D" w:rsidRPr="00AF2AE2" w:rsidRDefault="00F8750D" w:rsidP="00BF1D3F">
      <w:pPr>
        <w:pStyle w:val="Heading3"/>
      </w:pPr>
      <w:bookmarkStart w:id="46" w:name="_Toc450139410"/>
      <w:r w:rsidRPr="00AF2AE2">
        <w:t>Legislation</w:t>
      </w:r>
      <w:bookmarkEnd w:id="46"/>
    </w:p>
    <w:p w:rsidR="002334A3" w:rsidRDefault="007B4C05" w:rsidP="002334A3">
      <w:pPr>
        <w:pStyle w:val="ListBullet"/>
        <w:rPr>
          <w:color w:val="1F497D"/>
        </w:rPr>
      </w:pPr>
      <w:r w:rsidRPr="007B4C05">
        <w:rPr>
          <w:i/>
        </w:rPr>
        <w:t>Aboriginal and Torres Strait Islander Elected Body Act 2008</w:t>
      </w:r>
      <w:r w:rsidR="002334A3">
        <w:t xml:space="preserve"> (ACT)</w:t>
      </w:r>
    </w:p>
    <w:p w:rsidR="00F8750D" w:rsidRPr="00AF2AE2" w:rsidRDefault="00F8750D" w:rsidP="00F8750D">
      <w:pPr>
        <w:pStyle w:val="ListBullet"/>
        <w:rPr>
          <w:i/>
        </w:rPr>
      </w:pPr>
      <w:r w:rsidRPr="00AF2AE2">
        <w:rPr>
          <w:i/>
        </w:rPr>
        <w:t>Annual Reports (Government Agencies) Act 2004</w:t>
      </w:r>
      <w:r w:rsidRPr="00AF2AE2">
        <w:t> (ACT)</w:t>
      </w:r>
    </w:p>
    <w:p w:rsidR="001733A4" w:rsidRPr="00AF2AE2" w:rsidRDefault="001733A4" w:rsidP="001733A4">
      <w:pPr>
        <w:pStyle w:val="ListBullet"/>
        <w:rPr>
          <w:i/>
        </w:rPr>
      </w:pPr>
      <w:r w:rsidRPr="00AF2AE2">
        <w:rPr>
          <w:i/>
        </w:rPr>
        <w:t>Children and Young People Act 2008 (ACT)</w:t>
      </w:r>
    </w:p>
    <w:p w:rsidR="00F8750D" w:rsidRPr="00AF2AE2" w:rsidRDefault="00F8750D" w:rsidP="00F8750D">
      <w:pPr>
        <w:pStyle w:val="ListBullet"/>
        <w:rPr>
          <w:i/>
        </w:rPr>
      </w:pPr>
      <w:r w:rsidRPr="00AF2AE2">
        <w:rPr>
          <w:i/>
        </w:rPr>
        <w:t xml:space="preserve">Copyright Act 1968 </w:t>
      </w:r>
      <w:r w:rsidRPr="00AF2AE2">
        <w:t>(Commonwealth)</w:t>
      </w:r>
    </w:p>
    <w:p w:rsidR="00F8750D" w:rsidRPr="00AF2AE2" w:rsidRDefault="00F8750D" w:rsidP="00F8750D">
      <w:pPr>
        <w:pStyle w:val="ListBullet"/>
        <w:rPr>
          <w:i/>
        </w:rPr>
      </w:pPr>
      <w:r w:rsidRPr="00AF2AE2">
        <w:rPr>
          <w:i/>
        </w:rPr>
        <w:t xml:space="preserve">Freedom of Information Act 1989 </w:t>
      </w:r>
      <w:r w:rsidRPr="00AF2AE2">
        <w:t>(ACT)</w:t>
      </w:r>
    </w:p>
    <w:p w:rsidR="00F8750D" w:rsidRPr="00AF2AE2" w:rsidRDefault="00F8750D" w:rsidP="00F8750D">
      <w:pPr>
        <w:pStyle w:val="ListBullet"/>
        <w:rPr>
          <w:i/>
        </w:rPr>
      </w:pPr>
      <w:r w:rsidRPr="00AF2AE2">
        <w:rPr>
          <w:i/>
        </w:rPr>
        <w:t xml:space="preserve">Human Rights Act 2004 </w:t>
      </w:r>
      <w:r w:rsidRPr="00AF2AE2">
        <w:t>(ACT)</w:t>
      </w:r>
    </w:p>
    <w:p w:rsidR="00F8750D" w:rsidRPr="00AF2AE2" w:rsidRDefault="00F8750D" w:rsidP="00F8750D">
      <w:pPr>
        <w:pStyle w:val="ListBullet"/>
        <w:rPr>
          <w:i/>
        </w:rPr>
      </w:pPr>
      <w:r w:rsidRPr="00AF2AE2">
        <w:rPr>
          <w:i/>
        </w:rPr>
        <w:t xml:space="preserve">Health Records (Privacy and Access) Act 1997 </w:t>
      </w:r>
      <w:r w:rsidRPr="00AF2AE2">
        <w:t>(ACT)</w:t>
      </w:r>
    </w:p>
    <w:p w:rsidR="00F8750D" w:rsidRPr="00AF2AE2" w:rsidRDefault="00F8750D" w:rsidP="00F8750D">
      <w:pPr>
        <w:pStyle w:val="ListBullet"/>
        <w:rPr>
          <w:i/>
        </w:rPr>
      </w:pPr>
      <w:r w:rsidRPr="00AF2AE2">
        <w:rPr>
          <w:i/>
        </w:rPr>
        <w:t xml:space="preserve">Information Privacy Act 2014 </w:t>
      </w:r>
      <w:r w:rsidRPr="00AF2AE2">
        <w:t>(ACT)</w:t>
      </w:r>
    </w:p>
    <w:p w:rsidR="00F8750D" w:rsidRPr="00AF2AE2" w:rsidRDefault="00F8750D" w:rsidP="00F8750D">
      <w:pPr>
        <w:pStyle w:val="ListBullet"/>
        <w:rPr>
          <w:i/>
        </w:rPr>
      </w:pPr>
      <w:r w:rsidRPr="00AF2AE2">
        <w:rPr>
          <w:i/>
        </w:rPr>
        <w:t xml:space="preserve">Public Interest Disclosure Act 2012 </w:t>
      </w:r>
      <w:r w:rsidRPr="00AF2AE2">
        <w:t>(ACT)</w:t>
      </w:r>
    </w:p>
    <w:p w:rsidR="00F8750D" w:rsidRPr="00AF2AE2" w:rsidRDefault="00F8750D" w:rsidP="00F8750D">
      <w:pPr>
        <w:pStyle w:val="ListBullet"/>
      </w:pPr>
      <w:r w:rsidRPr="00AF2AE2">
        <w:rPr>
          <w:i/>
        </w:rPr>
        <w:t xml:space="preserve">Public Sector Management Act 1994 </w:t>
      </w:r>
      <w:r w:rsidRPr="00AF2AE2">
        <w:t>(ACT)</w:t>
      </w:r>
    </w:p>
    <w:p w:rsidR="00F8750D" w:rsidRPr="00AF2AE2" w:rsidRDefault="00F8750D" w:rsidP="00F8750D">
      <w:pPr>
        <w:pStyle w:val="ListBullet"/>
        <w:rPr>
          <w:i/>
        </w:rPr>
      </w:pPr>
      <w:r w:rsidRPr="00AF2AE2">
        <w:rPr>
          <w:i/>
        </w:rPr>
        <w:t>Public Sector Management Standards (Part 2.5)</w:t>
      </w:r>
    </w:p>
    <w:p w:rsidR="00F8750D" w:rsidRPr="00AF2AE2" w:rsidRDefault="00F8750D" w:rsidP="00F8750D">
      <w:pPr>
        <w:pStyle w:val="ListBullet"/>
        <w:rPr>
          <w:i/>
        </w:rPr>
      </w:pPr>
      <w:r w:rsidRPr="00AF2AE2">
        <w:rPr>
          <w:i/>
        </w:rPr>
        <w:t xml:space="preserve">Territory Records Act 2002 </w:t>
      </w:r>
      <w:r w:rsidRPr="00AF2AE2">
        <w:t>(ACT)</w:t>
      </w:r>
    </w:p>
    <w:p w:rsidR="00F8750D" w:rsidRPr="00F4361A" w:rsidRDefault="00F8750D" w:rsidP="00F4361A">
      <w:pPr>
        <w:pStyle w:val="ListBullet"/>
        <w:rPr>
          <w:i/>
        </w:rPr>
      </w:pPr>
      <w:r w:rsidRPr="00AF2AE2">
        <w:rPr>
          <w:i/>
        </w:rPr>
        <w:t xml:space="preserve">Workplace Privacy Act 2011 </w:t>
      </w:r>
      <w:r w:rsidRPr="00AF2AE2">
        <w:t>(ACT)</w:t>
      </w:r>
    </w:p>
    <w:p w:rsidR="00F8750D" w:rsidRPr="00AF2AE2" w:rsidRDefault="00F8750D" w:rsidP="00BF1D3F">
      <w:pPr>
        <w:pStyle w:val="Heading3"/>
      </w:pPr>
      <w:bookmarkStart w:id="47" w:name="_Toc450139411"/>
      <w:r w:rsidRPr="00AF2AE2">
        <w:t>Policies, guidelines and standards</w:t>
      </w:r>
      <w:bookmarkEnd w:id="47"/>
    </w:p>
    <w:p w:rsidR="002334A3" w:rsidRDefault="002334A3" w:rsidP="00F8750D">
      <w:pPr>
        <w:pStyle w:val="ListBullet"/>
        <w:rPr>
          <w:bCs/>
          <w:i/>
        </w:rPr>
      </w:pPr>
      <w:r w:rsidRPr="002334A3">
        <w:rPr>
          <w:bCs/>
          <w:i/>
        </w:rPr>
        <w:t>ACT Aboriginal and Torres Strait Islander Agreement (2012-2017)</w:t>
      </w:r>
    </w:p>
    <w:p w:rsidR="001733A4" w:rsidRPr="00B877A0" w:rsidRDefault="001733A4" w:rsidP="001733A4">
      <w:pPr>
        <w:pStyle w:val="ListBullet"/>
        <w:rPr>
          <w:i/>
        </w:rPr>
      </w:pPr>
      <w:r w:rsidRPr="00B877A0">
        <w:rPr>
          <w:i/>
        </w:rPr>
        <w:t>Australian Standards</w:t>
      </w:r>
    </w:p>
    <w:p w:rsidR="00F8750D" w:rsidRDefault="00F8750D" w:rsidP="00F8750D">
      <w:pPr>
        <w:pStyle w:val="ListBullet"/>
        <w:rPr>
          <w:i/>
        </w:rPr>
      </w:pPr>
      <w:r w:rsidRPr="00AF2AE2">
        <w:rPr>
          <w:i/>
        </w:rPr>
        <w:t xml:space="preserve">Protective Security Policy </w:t>
      </w:r>
      <w:r w:rsidR="00E042CA">
        <w:rPr>
          <w:i/>
        </w:rPr>
        <w:t>Framework</w:t>
      </w:r>
    </w:p>
    <w:p w:rsidR="002334A3" w:rsidRPr="00AF2AE2" w:rsidRDefault="002334A3" w:rsidP="00F8750D">
      <w:pPr>
        <w:pStyle w:val="ListBullet"/>
        <w:rPr>
          <w:i/>
        </w:rPr>
      </w:pPr>
      <w:r>
        <w:rPr>
          <w:i/>
        </w:rPr>
        <w:t>Protective Security Education Guideline</w:t>
      </w:r>
    </w:p>
    <w:p w:rsidR="00F8750D" w:rsidRPr="00AF2AE2" w:rsidRDefault="00F8750D" w:rsidP="00F8750D">
      <w:pPr>
        <w:pStyle w:val="ListBullet"/>
        <w:rPr>
          <w:i/>
        </w:rPr>
      </w:pPr>
      <w:r w:rsidRPr="00AF2AE2">
        <w:rPr>
          <w:i/>
        </w:rPr>
        <w:t>Territory Records Office Records Advice 3</w:t>
      </w:r>
    </w:p>
    <w:p w:rsidR="00F8750D" w:rsidRDefault="00F8750D" w:rsidP="00F8750D">
      <w:pPr>
        <w:pStyle w:val="ListBullet"/>
        <w:rPr>
          <w:i/>
        </w:rPr>
      </w:pPr>
      <w:r w:rsidRPr="00AF2AE2">
        <w:rPr>
          <w:i/>
        </w:rPr>
        <w:t>Territory Records Office Records Advice 5</w:t>
      </w:r>
    </w:p>
    <w:p w:rsidR="001733A4" w:rsidRPr="00AF2AE2" w:rsidRDefault="001733A4" w:rsidP="001733A4">
      <w:pPr>
        <w:pStyle w:val="ListBullet"/>
        <w:rPr>
          <w:bCs/>
          <w:i/>
        </w:rPr>
      </w:pPr>
      <w:r w:rsidRPr="00AF2AE2">
        <w:rPr>
          <w:bCs/>
          <w:i/>
        </w:rPr>
        <w:t xml:space="preserve">The </w:t>
      </w:r>
      <w:r w:rsidRPr="00AF2AE2">
        <w:rPr>
          <w:bCs/>
          <w:i/>
          <w:iCs/>
        </w:rPr>
        <w:t>FOI ACT 1989</w:t>
      </w:r>
      <w:r w:rsidRPr="00AF2AE2">
        <w:rPr>
          <w:bCs/>
          <w:i/>
        </w:rPr>
        <w:t xml:space="preserve"> Online FOI Publication Policy </w:t>
      </w:r>
    </w:p>
    <w:p w:rsidR="00F8750D" w:rsidRPr="00245EB4" w:rsidRDefault="009D6D85" w:rsidP="00245EB4">
      <w:pPr>
        <w:pStyle w:val="ListBullet"/>
        <w:numPr>
          <w:ilvl w:val="0"/>
          <w:numId w:val="0"/>
        </w:numPr>
        <w:ind w:left="360"/>
        <w:rPr>
          <w:i/>
        </w:rPr>
      </w:pPr>
      <w:hyperlink r:id="rId23" w:history="1">
        <w:r w:rsidR="001733A4" w:rsidRPr="00AF2AE2">
          <w:rPr>
            <w:rStyle w:val="Hyperlink"/>
            <w:bCs/>
            <w:i/>
          </w:rPr>
          <w:t>http://sharedservices/actgovt/ICTdocs/FOI-Online-Policy.pdf</w:t>
        </w:r>
      </w:hyperlink>
      <w:r w:rsidR="001733A4" w:rsidRPr="00AF2AE2">
        <w:rPr>
          <w:bCs/>
          <w:i/>
        </w:rPr>
        <w:t xml:space="preserve"> </w:t>
      </w:r>
    </w:p>
    <w:p w:rsidR="00F8750D" w:rsidRPr="00AF2AE2" w:rsidRDefault="00F8750D" w:rsidP="00245EB4">
      <w:r w:rsidRPr="00AF2AE2">
        <w:lastRenderedPageBreak/>
        <w:t>Agencies may also have complementary policies that need to be adhered to.</w:t>
      </w:r>
    </w:p>
    <w:p w:rsidR="00F8750D" w:rsidRPr="00AF2AE2" w:rsidRDefault="00F8750D" w:rsidP="00BF1D3F">
      <w:pPr>
        <w:pStyle w:val="Heading1"/>
      </w:pPr>
      <w:bookmarkStart w:id="48" w:name="_Toc300215065"/>
      <w:bookmarkStart w:id="49" w:name="_Ref421879081"/>
      <w:bookmarkStart w:id="50" w:name="_Ref421879082"/>
      <w:bookmarkStart w:id="51" w:name="_Ref421879110"/>
      <w:bookmarkStart w:id="52" w:name="_Toc450139412"/>
      <w:bookmarkStart w:id="53" w:name="Contact"/>
      <w:r w:rsidRPr="00AF2AE2">
        <w:t>Contact</w:t>
      </w:r>
      <w:bookmarkEnd w:id="48"/>
      <w:bookmarkEnd w:id="49"/>
      <w:bookmarkEnd w:id="50"/>
      <w:bookmarkEnd w:id="51"/>
      <w:bookmarkEnd w:id="52"/>
    </w:p>
    <w:bookmarkEnd w:id="53"/>
    <w:p w:rsidR="00F8750D" w:rsidRPr="00AF2AE2" w:rsidRDefault="00F8750D" w:rsidP="00F8750D">
      <w:r w:rsidRPr="00AF2AE2">
        <w:t xml:space="preserve">For all queries about this Policy, please contact the action officer at </w:t>
      </w:r>
      <w:r w:rsidR="00CA2332">
        <w:t>OCDO</w:t>
      </w:r>
      <w:r w:rsidRPr="00AF2AE2">
        <w:t xml:space="preserve"> by emailing: </w:t>
      </w:r>
      <w:hyperlink r:id="rId24" w:history="1">
        <w:r w:rsidR="00B35237" w:rsidRPr="002C382C">
          <w:rPr>
            <w:rStyle w:val="Hyperlink"/>
          </w:rPr>
          <w:t>cdo@act.gov.au</w:t>
        </w:r>
      </w:hyperlink>
      <w:r w:rsidRPr="00AF2AE2">
        <w:t>.</w:t>
      </w:r>
    </w:p>
    <w:p w:rsidR="00C36BE4" w:rsidRDefault="00C36BE4" w:rsidP="00C36BE4">
      <w:pPr>
        <w:pStyle w:val="BodyText"/>
      </w:pPr>
      <w:r w:rsidRPr="00C36BE4">
        <w:rPr>
          <w:b/>
        </w:rPr>
        <w:t>Owner:</w:t>
      </w:r>
      <w:r w:rsidRPr="00C36BE4">
        <w:t xml:space="preserve"> Chief Digital Officer, OCDO</w:t>
      </w:r>
    </w:p>
    <w:p w:rsidR="00C36BE4" w:rsidRDefault="00C36BE4" w:rsidP="00C36BE4">
      <w:pPr>
        <w:pStyle w:val="BodyText"/>
      </w:pPr>
      <w:r w:rsidRPr="00C36BE4">
        <w:rPr>
          <w:b/>
        </w:rPr>
        <w:t>Document location:</w:t>
      </w:r>
      <w:r w:rsidRPr="00C36BE4">
        <w:t xml:space="preserve"> </w:t>
      </w:r>
      <w:r>
        <w:t>h</w:t>
      </w:r>
      <w:r w:rsidRPr="00C36BE4">
        <w:t>ttp://www.cmd.act.gov.au/open_government/what_is_open_government</w:t>
      </w:r>
    </w:p>
    <w:p w:rsidR="00C36BE4" w:rsidRDefault="00C36BE4" w:rsidP="00C36BE4">
      <w:pPr>
        <w:pStyle w:val="BodyText"/>
      </w:pPr>
      <w:r w:rsidRPr="00C36BE4">
        <w:rPr>
          <w:b/>
        </w:rPr>
        <w:t>Review cycle:</w:t>
      </w:r>
      <w:r w:rsidRPr="00C36BE4">
        <w:t xml:space="preserve"> The Policy should be reviewed within three years.</w:t>
      </w:r>
    </w:p>
    <w:p w:rsidR="00F8750D" w:rsidRPr="00245EB4" w:rsidRDefault="00C36BE4" w:rsidP="00245EB4">
      <w:pPr>
        <w:pStyle w:val="BodyText"/>
      </w:pPr>
      <w:r w:rsidRPr="00C36BE4">
        <w:rPr>
          <w:b/>
        </w:rPr>
        <w:t>License:</w:t>
      </w:r>
      <w:r w:rsidRPr="00C36BE4">
        <w:t xml:space="preserve"> This work is licensed under the Creative Commons Attribution 4.0 International License. To view a copy of this license, visit http://creativecommons.org/licenses/by/4.0/.</w:t>
      </w:r>
      <w:bookmarkStart w:id="54" w:name="_Toc71441864"/>
      <w:bookmarkStart w:id="55" w:name="_Toc91478616"/>
      <w:bookmarkStart w:id="56" w:name="_Toc91491841"/>
      <w:bookmarkStart w:id="57" w:name="_Toc300215067"/>
      <w:bookmarkStart w:id="58" w:name="_Toc449418499"/>
      <w:bookmarkStart w:id="59" w:name="_Toc68406172"/>
    </w:p>
    <w:p w:rsidR="00C34994" w:rsidRPr="00C34994" w:rsidRDefault="00C34994" w:rsidP="00245EB4">
      <w:pPr>
        <w:pStyle w:val="Heading1"/>
      </w:pPr>
      <w:bookmarkStart w:id="60" w:name="_Toc203898015"/>
      <w:bookmarkStart w:id="61" w:name="_Toc300215040"/>
      <w:bookmarkStart w:id="62" w:name="_Toc450139413"/>
      <w:r>
        <w:t>Glossary</w:t>
      </w:r>
      <w:bookmarkEnd w:id="60"/>
      <w:bookmarkEnd w:id="61"/>
      <w:bookmarkEnd w:id="62"/>
    </w:p>
    <w:tbl>
      <w:tblPr>
        <w:tblW w:w="5008" w:type="pct"/>
        <w:tblLayout w:type="fixed"/>
        <w:tblCellMar>
          <w:left w:w="0" w:type="dxa"/>
          <w:right w:w="0" w:type="dxa"/>
        </w:tblCellMar>
        <w:tblLook w:val="01E0"/>
      </w:tblPr>
      <w:tblGrid>
        <w:gridCol w:w="2410"/>
        <w:gridCol w:w="6675"/>
      </w:tblGrid>
      <w:tr w:rsidR="00044EAA" w:rsidRPr="00AC23B1" w:rsidTr="00245EB4">
        <w:trPr>
          <w:trHeight w:val="362"/>
          <w:tblHeader/>
        </w:trPr>
        <w:tc>
          <w:tcPr>
            <w:tcW w:w="2410" w:type="dxa"/>
            <w:tcBorders>
              <w:bottom w:val="single" w:sz="4" w:space="0" w:color="C0C0C0"/>
            </w:tcBorders>
          </w:tcPr>
          <w:p w:rsidR="00044EAA" w:rsidRPr="00AC23B1" w:rsidRDefault="00044EAA" w:rsidP="00BD5AA2">
            <w:pPr>
              <w:pStyle w:val="TableHeading"/>
            </w:pPr>
            <w:r w:rsidRPr="00AC23B1">
              <w:t>Term</w:t>
            </w:r>
          </w:p>
        </w:tc>
        <w:tc>
          <w:tcPr>
            <w:tcW w:w="6675" w:type="dxa"/>
            <w:tcBorders>
              <w:bottom w:val="single" w:sz="4" w:space="0" w:color="C0C0C0"/>
            </w:tcBorders>
          </w:tcPr>
          <w:p w:rsidR="00044EAA" w:rsidRPr="00AC23B1" w:rsidRDefault="00044EAA" w:rsidP="00BD5AA2">
            <w:pPr>
              <w:pStyle w:val="TableHeading"/>
            </w:pPr>
            <w:r w:rsidRPr="00AC23B1">
              <w:t>Definition</w:t>
            </w:r>
          </w:p>
        </w:tc>
      </w:tr>
      <w:tr w:rsidR="00044EAA" w:rsidRPr="00AF2AE2" w:rsidTr="00BD5AA2">
        <w:tblPrEx>
          <w:tblBorders>
            <w:top w:val="single" w:sz="4" w:space="0" w:color="999999"/>
            <w:bottom w:val="single" w:sz="4" w:space="0" w:color="999999"/>
            <w:insideH w:val="single" w:sz="4" w:space="0" w:color="999999"/>
          </w:tblBorders>
        </w:tblPrEx>
        <w:trPr>
          <w:trHeight w:val="558"/>
        </w:trPr>
        <w:tc>
          <w:tcPr>
            <w:tcW w:w="2410" w:type="dxa"/>
            <w:tcBorders>
              <w:top w:val="single" w:sz="4" w:space="0" w:color="999999"/>
              <w:bottom w:val="single" w:sz="4" w:space="0" w:color="999999"/>
              <w:right w:val="single" w:sz="4" w:space="0" w:color="999999"/>
            </w:tcBorders>
          </w:tcPr>
          <w:p w:rsidR="00044EAA" w:rsidRPr="00AF2AE2" w:rsidRDefault="00044EAA" w:rsidP="00BD5AA2">
            <w:pPr>
              <w:pStyle w:val="Tabletext"/>
            </w:pPr>
            <w:r w:rsidRPr="00AF2AE2">
              <w:t>De-Identified Data</w:t>
            </w:r>
          </w:p>
        </w:tc>
        <w:tc>
          <w:tcPr>
            <w:tcW w:w="6675" w:type="dxa"/>
          </w:tcPr>
          <w:p w:rsidR="00044EAA" w:rsidRPr="00AF2AE2" w:rsidRDefault="00044EAA" w:rsidP="00BD5AA2">
            <w:pPr>
              <w:pStyle w:val="Tabletext"/>
              <w:rPr>
                <w:rFonts w:cs="Arial"/>
              </w:rPr>
            </w:pPr>
            <w:r w:rsidRPr="00AF2AE2">
              <w:rPr>
                <w:rFonts w:cs="Arial"/>
              </w:rPr>
              <w:t>Data which is not about an identifiable individual or an individual who is reasonably identifiable.</w:t>
            </w:r>
          </w:p>
        </w:tc>
      </w:tr>
      <w:tr w:rsidR="00044EAA" w:rsidRPr="00AF2AE2" w:rsidTr="00BD5AA2">
        <w:tblPrEx>
          <w:tblBorders>
            <w:top w:val="single" w:sz="4" w:space="0" w:color="999999"/>
            <w:bottom w:val="single" w:sz="4" w:space="0" w:color="999999"/>
            <w:insideH w:val="single" w:sz="4" w:space="0" w:color="999999"/>
          </w:tblBorders>
        </w:tblPrEx>
        <w:trPr>
          <w:trHeight w:val="558"/>
        </w:trPr>
        <w:tc>
          <w:tcPr>
            <w:tcW w:w="2410" w:type="dxa"/>
            <w:tcBorders>
              <w:top w:val="single" w:sz="4" w:space="0" w:color="999999"/>
              <w:bottom w:val="single" w:sz="4" w:space="0" w:color="999999"/>
              <w:right w:val="single" w:sz="4" w:space="0" w:color="999999"/>
            </w:tcBorders>
          </w:tcPr>
          <w:p w:rsidR="00044EAA" w:rsidRPr="00AF2AE2" w:rsidRDefault="00044EAA" w:rsidP="00BD5AA2">
            <w:pPr>
              <w:pStyle w:val="Tabletext"/>
            </w:pPr>
            <w:r w:rsidRPr="00AF2AE2">
              <w:t>Data</w:t>
            </w:r>
          </w:p>
        </w:tc>
        <w:tc>
          <w:tcPr>
            <w:tcW w:w="6675" w:type="dxa"/>
          </w:tcPr>
          <w:p w:rsidR="00044EAA" w:rsidRPr="00AF2AE2" w:rsidRDefault="00044EAA" w:rsidP="00BD5AA2">
            <w:pPr>
              <w:pStyle w:val="Tabletext"/>
            </w:pPr>
            <w:r w:rsidRPr="00AF2AE2">
              <w:rPr>
                <w:rFonts w:cs="Arial"/>
              </w:rPr>
              <w:t>Structured information in a raw or pre-interpreted form. Data does not contain an explicit narrative.</w:t>
            </w:r>
          </w:p>
        </w:tc>
      </w:tr>
      <w:tr w:rsidR="00044EAA" w:rsidRPr="00AF2AE2" w:rsidTr="00BD5AA2">
        <w:tblPrEx>
          <w:tblBorders>
            <w:top w:val="single" w:sz="4" w:space="0" w:color="999999"/>
            <w:bottom w:val="single" w:sz="4" w:space="0" w:color="999999"/>
            <w:insideH w:val="single" w:sz="4" w:space="0" w:color="999999"/>
          </w:tblBorders>
        </w:tblPrEx>
        <w:trPr>
          <w:trHeight w:val="453"/>
        </w:trPr>
        <w:tc>
          <w:tcPr>
            <w:tcW w:w="2410" w:type="dxa"/>
            <w:tcBorders>
              <w:top w:val="single" w:sz="4" w:space="0" w:color="999999"/>
              <w:bottom w:val="single" w:sz="4" w:space="0" w:color="999999"/>
              <w:right w:val="single" w:sz="4" w:space="0" w:color="999999"/>
            </w:tcBorders>
          </w:tcPr>
          <w:p w:rsidR="00044EAA" w:rsidRPr="00AF2AE2" w:rsidRDefault="00044EAA" w:rsidP="00BD5AA2">
            <w:pPr>
              <w:pStyle w:val="Tabletext"/>
            </w:pPr>
            <w:proofErr w:type="spellStart"/>
            <w:r w:rsidRPr="00AF2AE2">
              <w:t>dataACT</w:t>
            </w:r>
            <w:proofErr w:type="spellEnd"/>
          </w:p>
        </w:tc>
        <w:tc>
          <w:tcPr>
            <w:tcW w:w="6675" w:type="dxa"/>
            <w:tcBorders>
              <w:top w:val="single" w:sz="4" w:space="0" w:color="999999"/>
              <w:bottom w:val="single" w:sz="4" w:space="0" w:color="999999"/>
            </w:tcBorders>
          </w:tcPr>
          <w:p w:rsidR="00044EAA" w:rsidRPr="00AF2AE2" w:rsidRDefault="00044EAA" w:rsidP="00BD5AA2">
            <w:pPr>
              <w:pStyle w:val="Tabletext"/>
            </w:pPr>
            <w:r w:rsidRPr="00AF2AE2">
              <w:rPr>
                <w:rFonts w:cs="Arial"/>
              </w:rPr>
              <w:t xml:space="preserve">The designated portal for ACT Government non-exempt data release. </w:t>
            </w:r>
          </w:p>
        </w:tc>
      </w:tr>
      <w:tr w:rsidR="00044EAA" w:rsidRPr="00B877A0" w:rsidTr="00BD5AA2">
        <w:tblPrEx>
          <w:tblBorders>
            <w:top w:val="single" w:sz="4" w:space="0" w:color="999999"/>
            <w:bottom w:val="single" w:sz="4" w:space="0" w:color="999999"/>
            <w:insideH w:val="single" w:sz="4" w:space="0" w:color="999999"/>
          </w:tblBorders>
        </w:tblPrEx>
        <w:trPr>
          <w:trHeight w:val="558"/>
        </w:trPr>
        <w:tc>
          <w:tcPr>
            <w:tcW w:w="2410" w:type="dxa"/>
            <w:tcBorders>
              <w:top w:val="single" w:sz="4" w:space="0" w:color="999999"/>
              <w:bottom w:val="single" w:sz="4" w:space="0" w:color="999999"/>
              <w:right w:val="single" w:sz="4" w:space="0" w:color="999999"/>
            </w:tcBorders>
          </w:tcPr>
          <w:p w:rsidR="00044EAA" w:rsidRPr="00B877A0" w:rsidRDefault="00044EAA" w:rsidP="00BD5AA2">
            <w:pPr>
              <w:pStyle w:val="Tabletext"/>
            </w:pPr>
            <w:r w:rsidRPr="00B877A0">
              <w:t>Dataset</w:t>
            </w:r>
          </w:p>
        </w:tc>
        <w:tc>
          <w:tcPr>
            <w:tcW w:w="6675" w:type="dxa"/>
          </w:tcPr>
          <w:p w:rsidR="00044EAA" w:rsidRPr="00B877A0" w:rsidDel="00122AE8" w:rsidRDefault="00044EAA" w:rsidP="001A3189">
            <w:pPr>
              <w:pStyle w:val="Tabletext"/>
              <w:rPr>
                <w:rFonts w:cs="Arial"/>
              </w:rPr>
            </w:pPr>
            <w:r w:rsidRPr="00B877A0">
              <w:rPr>
                <w:rFonts w:cs="Arial"/>
              </w:rPr>
              <w:t>A collection of data</w:t>
            </w:r>
            <w:r w:rsidR="001A3189" w:rsidRPr="00B877A0">
              <w:rPr>
                <w:rFonts w:cs="Arial"/>
              </w:rPr>
              <w:t>, with an appropriate license,</w:t>
            </w:r>
            <w:r w:rsidRPr="00B877A0">
              <w:rPr>
                <w:rFonts w:cs="Arial"/>
              </w:rPr>
              <w:t xml:space="preserve"> in tabular or non-tabular form</w:t>
            </w:r>
            <w:r w:rsidR="001A3189" w:rsidRPr="00B877A0">
              <w:rPr>
                <w:rFonts w:cs="Arial"/>
              </w:rPr>
              <w:t xml:space="preserve">, </w:t>
            </w:r>
            <w:r w:rsidR="00A32D0E" w:rsidRPr="00B877A0">
              <w:t xml:space="preserve">unstructured, graphic or </w:t>
            </w:r>
            <w:r w:rsidR="001A3189" w:rsidRPr="00B877A0">
              <w:t>a</w:t>
            </w:r>
            <w:r w:rsidR="00A32D0E" w:rsidRPr="00B877A0">
              <w:t xml:space="preserve"> mix</w:t>
            </w:r>
            <w:r w:rsidR="001A3189" w:rsidRPr="00B877A0">
              <w:t>ture.</w:t>
            </w:r>
          </w:p>
        </w:tc>
      </w:tr>
      <w:tr w:rsidR="008A69A0" w:rsidRPr="00B877A0" w:rsidTr="00BD5AA2">
        <w:tblPrEx>
          <w:tblBorders>
            <w:top w:val="single" w:sz="4" w:space="0" w:color="999999"/>
            <w:bottom w:val="single" w:sz="4" w:space="0" w:color="999999"/>
            <w:insideH w:val="single" w:sz="4" w:space="0" w:color="999999"/>
          </w:tblBorders>
        </w:tblPrEx>
        <w:trPr>
          <w:trHeight w:val="558"/>
        </w:trPr>
        <w:tc>
          <w:tcPr>
            <w:tcW w:w="2410" w:type="dxa"/>
            <w:tcBorders>
              <w:top w:val="single" w:sz="4" w:space="0" w:color="999999"/>
              <w:bottom w:val="single" w:sz="4" w:space="0" w:color="999999"/>
              <w:right w:val="single" w:sz="4" w:space="0" w:color="999999"/>
            </w:tcBorders>
          </w:tcPr>
          <w:p w:rsidR="008A69A0" w:rsidRPr="00B877A0" w:rsidRDefault="008A69A0" w:rsidP="00BD5AA2">
            <w:pPr>
              <w:pStyle w:val="Tabletext"/>
            </w:pPr>
            <w:r w:rsidRPr="00B877A0">
              <w:t>Data Custodian</w:t>
            </w:r>
          </w:p>
        </w:tc>
        <w:tc>
          <w:tcPr>
            <w:tcW w:w="6675" w:type="dxa"/>
          </w:tcPr>
          <w:p w:rsidR="008A69A0" w:rsidRPr="00B877A0" w:rsidRDefault="008A69A0" w:rsidP="001A3189">
            <w:pPr>
              <w:pStyle w:val="Tabletext"/>
              <w:rPr>
                <w:rFonts w:cs="Arial"/>
              </w:rPr>
            </w:pPr>
            <w:r w:rsidRPr="00B877A0">
              <w:rPr>
                <w:rFonts w:cs="Arial"/>
              </w:rPr>
              <w:t>Person within a Directorate/Agency responsible for creating and/or managing data.</w:t>
            </w:r>
          </w:p>
        </w:tc>
      </w:tr>
      <w:tr w:rsidR="008A69A0" w:rsidRPr="00AF2AE2" w:rsidTr="00BD5AA2">
        <w:tblPrEx>
          <w:tblBorders>
            <w:top w:val="single" w:sz="4" w:space="0" w:color="999999"/>
            <w:bottom w:val="single" w:sz="4" w:space="0" w:color="999999"/>
            <w:insideH w:val="single" w:sz="4" w:space="0" w:color="999999"/>
          </w:tblBorders>
        </w:tblPrEx>
        <w:trPr>
          <w:trHeight w:val="558"/>
        </w:trPr>
        <w:tc>
          <w:tcPr>
            <w:tcW w:w="2410" w:type="dxa"/>
            <w:tcBorders>
              <w:top w:val="single" w:sz="4" w:space="0" w:color="999999"/>
              <w:bottom w:val="single" w:sz="4" w:space="0" w:color="999999"/>
              <w:right w:val="single" w:sz="4" w:space="0" w:color="999999"/>
            </w:tcBorders>
          </w:tcPr>
          <w:p w:rsidR="008A69A0" w:rsidRPr="00B877A0" w:rsidRDefault="008A69A0" w:rsidP="00BD5AA2">
            <w:pPr>
              <w:pStyle w:val="Tabletext"/>
            </w:pPr>
            <w:r w:rsidRPr="00B877A0">
              <w:t>Data Business Owner</w:t>
            </w:r>
          </w:p>
        </w:tc>
        <w:tc>
          <w:tcPr>
            <w:tcW w:w="6675" w:type="dxa"/>
          </w:tcPr>
          <w:p w:rsidR="008A69A0" w:rsidRPr="00AF2AE2" w:rsidRDefault="008A69A0" w:rsidP="00BD5AA2">
            <w:pPr>
              <w:pStyle w:val="Tabletext"/>
              <w:rPr>
                <w:rFonts w:cs="Arial"/>
              </w:rPr>
            </w:pPr>
            <w:r w:rsidRPr="00B877A0">
              <w:rPr>
                <w:rFonts w:cs="Arial"/>
              </w:rPr>
              <w:t>Person within a Directorate/Agency with established business ownership over data and who has authority to release data.</w:t>
            </w:r>
          </w:p>
        </w:tc>
      </w:tr>
      <w:tr w:rsidR="00044EAA" w:rsidRPr="00AF2AE2" w:rsidTr="00BD5AA2">
        <w:tblPrEx>
          <w:tblBorders>
            <w:top w:val="single" w:sz="4" w:space="0" w:color="999999"/>
            <w:bottom w:val="single" w:sz="4" w:space="0" w:color="999999"/>
            <w:insideH w:val="single" w:sz="4" w:space="0" w:color="999999"/>
          </w:tblBorders>
        </w:tblPrEx>
        <w:trPr>
          <w:trHeight w:val="558"/>
        </w:trPr>
        <w:tc>
          <w:tcPr>
            <w:tcW w:w="2410" w:type="dxa"/>
            <w:tcBorders>
              <w:top w:val="single" w:sz="4" w:space="0" w:color="999999"/>
              <w:bottom w:val="single" w:sz="4" w:space="0" w:color="999999"/>
              <w:right w:val="single" w:sz="4" w:space="0" w:color="999999"/>
            </w:tcBorders>
          </w:tcPr>
          <w:p w:rsidR="00044EAA" w:rsidRPr="00AF2AE2" w:rsidRDefault="00044EAA" w:rsidP="00BD5AA2">
            <w:pPr>
              <w:pStyle w:val="Tabletext"/>
            </w:pPr>
            <w:r w:rsidRPr="00AF2AE2">
              <w:t>Open data</w:t>
            </w:r>
          </w:p>
        </w:tc>
        <w:tc>
          <w:tcPr>
            <w:tcW w:w="6675" w:type="dxa"/>
          </w:tcPr>
          <w:p w:rsidR="00044EAA" w:rsidRPr="00AF2AE2" w:rsidRDefault="00044EAA" w:rsidP="00BD5AA2">
            <w:pPr>
              <w:pStyle w:val="Tabletext"/>
              <w:rPr>
                <w:rFonts w:cs="Arial"/>
              </w:rPr>
            </w:pPr>
            <w:r w:rsidRPr="00AF2AE2">
              <w:rPr>
                <w:rFonts w:cs="Arial"/>
              </w:rPr>
              <w:t xml:space="preserve">Publically available data that can be freely </w:t>
            </w:r>
            <w:proofErr w:type="gramStart"/>
            <w:r w:rsidRPr="00AF2AE2">
              <w:rPr>
                <w:rFonts w:cs="Arial"/>
              </w:rPr>
              <w:t>used,</w:t>
            </w:r>
            <w:proofErr w:type="gramEnd"/>
            <w:r w:rsidRPr="00AF2AE2">
              <w:rPr>
                <w:rFonts w:cs="Arial"/>
              </w:rPr>
              <w:t xml:space="preserve"> reused and redistributed by anyone.</w:t>
            </w:r>
          </w:p>
        </w:tc>
      </w:tr>
      <w:tr w:rsidR="00044EAA" w:rsidRPr="00AF2AE2" w:rsidTr="00BD5AA2">
        <w:tblPrEx>
          <w:tblBorders>
            <w:top w:val="single" w:sz="4" w:space="0" w:color="999999"/>
            <w:bottom w:val="single" w:sz="4" w:space="0" w:color="999999"/>
            <w:insideH w:val="single" w:sz="4" w:space="0" w:color="999999"/>
          </w:tblBorders>
        </w:tblPrEx>
        <w:trPr>
          <w:trHeight w:val="558"/>
        </w:trPr>
        <w:tc>
          <w:tcPr>
            <w:tcW w:w="2410" w:type="dxa"/>
            <w:tcBorders>
              <w:top w:val="single" w:sz="4" w:space="0" w:color="999999"/>
              <w:bottom w:val="single" w:sz="4" w:space="0" w:color="999999"/>
              <w:right w:val="single" w:sz="4" w:space="0" w:color="999999"/>
            </w:tcBorders>
          </w:tcPr>
          <w:p w:rsidR="00044EAA" w:rsidRPr="00AF2AE2" w:rsidRDefault="00044EAA" w:rsidP="00BD5AA2">
            <w:pPr>
              <w:pStyle w:val="Tabletext"/>
            </w:pPr>
            <w:r w:rsidRPr="00AF2AE2">
              <w:t>Closed data</w:t>
            </w:r>
          </w:p>
        </w:tc>
        <w:tc>
          <w:tcPr>
            <w:tcW w:w="6675" w:type="dxa"/>
          </w:tcPr>
          <w:p w:rsidR="00044EAA" w:rsidRPr="00AF2AE2" w:rsidRDefault="00044EAA" w:rsidP="00BD5AA2">
            <w:pPr>
              <w:pStyle w:val="Tabletext"/>
              <w:rPr>
                <w:rFonts w:cs="Arial"/>
              </w:rPr>
            </w:pPr>
            <w:r w:rsidRPr="00AF2AE2">
              <w:rPr>
                <w:rFonts w:cs="Arial"/>
              </w:rPr>
              <w:t>Data that restricts access or reuse by way of aggregation, proprietary formats, time limits, passwords, license or copyright.</w:t>
            </w:r>
          </w:p>
        </w:tc>
      </w:tr>
      <w:tr w:rsidR="00044EAA" w:rsidRPr="00AF2AE2" w:rsidTr="00BD5AA2">
        <w:tblPrEx>
          <w:tblBorders>
            <w:top w:val="single" w:sz="4" w:space="0" w:color="999999"/>
            <w:bottom w:val="single" w:sz="4" w:space="0" w:color="999999"/>
            <w:insideH w:val="single" w:sz="4" w:space="0" w:color="999999"/>
          </w:tblBorders>
        </w:tblPrEx>
        <w:trPr>
          <w:trHeight w:val="558"/>
        </w:trPr>
        <w:tc>
          <w:tcPr>
            <w:tcW w:w="2410" w:type="dxa"/>
            <w:tcBorders>
              <w:top w:val="single" w:sz="4" w:space="0" w:color="999999"/>
              <w:bottom w:val="single" w:sz="4" w:space="0" w:color="999999"/>
              <w:right w:val="single" w:sz="4" w:space="0" w:color="999999"/>
            </w:tcBorders>
          </w:tcPr>
          <w:p w:rsidR="00044EAA" w:rsidRPr="00AF2AE2" w:rsidRDefault="00044EAA" w:rsidP="00BD5AA2">
            <w:pPr>
              <w:pStyle w:val="Tabletext"/>
            </w:pPr>
            <w:r w:rsidRPr="00AF2AE2">
              <w:t>Government information</w:t>
            </w:r>
          </w:p>
        </w:tc>
        <w:tc>
          <w:tcPr>
            <w:tcW w:w="6675" w:type="dxa"/>
            <w:tcBorders>
              <w:top w:val="single" w:sz="4" w:space="0" w:color="999999"/>
              <w:bottom w:val="single" w:sz="4" w:space="0" w:color="999999"/>
            </w:tcBorders>
          </w:tcPr>
          <w:p w:rsidR="00044EAA" w:rsidRPr="00AF2AE2" w:rsidRDefault="00044EAA" w:rsidP="00BD5AA2">
            <w:pPr>
              <w:pStyle w:val="Tabletext"/>
            </w:pPr>
            <w:r w:rsidRPr="00AF2AE2">
              <w:t>Production level data, final documents and reports (not drafts) which are created through the undertaking of Government business</w:t>
            </w:r>
            <w:r w:rsidR="001A3189">
              <w:t>, with an appropriate license</w:t>
            </w:r>
            <w:r w:rsidRPr="00AF2AE2">
              <w:t>.</w:t>
            </w:r>
          </w:p>
        </w:tc>
      </w:tr>
      <w:tr w:rsidR="00A32D0E" w:rsidRPr="00AF2AE2" w:rsidTr="00BD5AA2">
        <w:tblPrEx>
          <w:tblBorders>
            <w:top w:val="single" w:sz="4" w:space="0" w:color="999999"/>
            <w:bottom w:val="single" w:sz="4" w:space="0" w:color="999999"/>
            <w:insideH w:val="single" w:sz="4" w:space="0" w:color="999999"/>
          </w:tblBorders>
        </w:tblPrEx>
        <w:trPr>
          <w:trHeight w:val="381"/>
        </w:trPr>
        <w:tc>
          <w:tcPr>
            <w:tcW w:w="2410" w:type="dxa"/>
            <w:tcBorders>
              <w:top w:val="single" w:sz="4" w:space="0" w:color="999999"/>
              <w:bottom w:val="single" w:sz="4" w:space="0" w:color="999999"/>
              <w:right w:val="single" w:sz="4" w:space="0" w:color="999999"/>
            </w:tcBorders>
          </w:tcPr>
          <w:p w:rsidR="00A32D0E" w:rsidRPr="00AF2AE2" w:rsidRDefault="00A32D0E" w:rsidP="00BD5AA2">
            <w:pPr>
              <w:pStyle w:val="Tabletext"/>
            </w:pPr>
            <w:r>
              <w:t>Master Data</w:t>
            </w:r>
          </w:p>
        </w:tc>
        <w:tc>
          <w:tcPr>
            <w:tcW w:w="6675" w:type="dxa"/>
            <w:tcBorders>
              <w:top w:val="single" w:sz="4" w:space="0" w:color="999999"/>
              <w:bottom w:val="single" w:sz="4" w:space="0" w:color="999999"/>
            </w:tcBorders>
          </w:tcPr>
          <w:p w:rsidR="00A32D0E" w:rsidRPr="00A32D0E" w:rsidRDefault="00A32D0E" w:rsidP="00BD5AA2">
            <w:pPr>
              <w:pStyle w:val="Tabletext"/>
              <w:rPr>
                <w:b/>
              </w:rPr>
            </w:pPr>
            <w:r>
              <w:rPr>
                <w:bCs/>
              </w:rPr>
              <w:t>A</w:t>
            </w:r>
            <w:r w:rsidRPr="00EC5304">
              <w:t> </w:t>
            </w:r>
            <w:r w:rsidRPr="00EC5304">
              <w:rPr>
                <w:i/>
                <w:iCs/>
              </w:rPr>
              <w:t>single source</w:t>
            </w:r>
            <w:r w:rsidRPr="00EC5304">
              <w:t> of basic business data used across </w:t>
            </w:r>
            <w:r w:rsidRPr="00EC5304">
              <w:rPr>
                <w:bCs/>
              </w:rPr>
              <w:t>multiple</w:t>
            </w:r>
            <w:r w:rsidRPr="00EC5304">
              <w:t> systems, applications, and/or processes.</w:t>
            </w:r>
          </w:p>
        </w:tc>
      </w:tr>
      <w:tr w:rsidR="00044EAA" w:rsidRPr="00AF2AE2" w:rsidTr="00BD5AA2">
        <w:tblPrEx>
          <w:tblBorders>
            <w:top w:val="single" w:sz="4" w:space="0" w:color="999999"/>
            <w:bottom w:val="single" w:sz="4" w:space="0" w:color="999999"/>
            <w:insideH w:val="single" w:sz="4" w:space="0" w:color="999999"/>
          </w:tblBorders>
        </w:tblPrEx>
        <w:trPr>
          <w:trHeight w:val="381"/>
        </w:trPr>
        <w:tc>
          <w:tcPr>
            <w:tcW w:w="2410" w:type="dxa"/>
            <w:tcBorders>
              <w:top w:val="single" w:sz="4" w:space="0" w:color="999999"/>
              <w:bottom w:val="single" w:sz="4" w:space="0" w:color="999999"/>
              <w:right w:val="single" w:sz="4" w:space="0" w:color="999999"/>
            </w:tcBorders>
          </w:tcPr>
          <w:p w:rsidR="00044EAA" w:rsidRPr="00AF2AE2" w:rsidRDefault="00044EAA" w:rsidP="00BD5AA2">
            <w:pPr>
              <w:pStyle w:val="Tabletext"/>
            </w:pPr>
            <w:r w:rsidRPr="00AF2AE2">
              <w:t>Metadata</w:t>
            </w:r>
          </w:p>
        </w:tc>
        <w:tc>
          <w:tcPr>
            <w:tcW w:w="6675" w:type="dxa"/>
            <w:tcBorders>
              <w:top w:val="single" w:sz="4" w:space="0" w:color="999999"/>
              <w:bottom w:val="single" w:sz="4" w:space="0" w:color="999999"/>
            </w:tcBorders>
          </w:tcPr>
          <w:p w:rsidR="00044EAA" w:rsidRPr="00AF2AE2" w:rsidRDefault="00044EAA" w:rsidP="00BD5AA2">
            <w:pPr>
              <w:pStyle w:val="Tabletext"/>
            </w:pPr>
            <w:r w:rsidRPr="00AF2AE2">
              <w:t>Data that defines and describes other data, allowing users to find, manage, control and understand the data.</w:t>
            </w:r>
          </w:p>
        </w:tc>
      </w:tr>
      <w:tr w:rsidR="00044EAA" w:rsidRPr="00AF2AE2" w:rsidTr="00BD5AA2">
        <w:tblPrEx>
          <w:tblBorders>
            <w:top w:val="single" w:sz="4" w:space="0" w:color="999999"/>
            <w:bottom w:val="single" w:sz="4" w:space="0" w:color="999999"/>
            <w:insideH w:val="single" w:sz="4" w:space="0" w:color="999999"/>
          </w:tblBorders>
        </w:tblPrEx>
        <w:trPr>
          <w:trHeight w:val="698"/>
        </w:trPr>
        <w:tc>
          <w:tcPr>
            <w:tcW w:w="2410" w:type="dxa"/>
            <w:tcBorders>
              <w:top w:val="single" w:sz="4" w:space="0" w:color="999999"/>
              <w:bottom w:val="single" w:sz="4" w:space="0" w:color="999999"/>
              <w:right w:val="single" w:sz="4" w:space="0" w:color="999999"/>
            </w:tcBorders>
          </w:tcPr>
          <w:p w:rsidR="00044EAA" w:rsidRPr="00AF2AE2" w:rsidRDefault="00044EAA" w:rsidP="00BD5AA2">
            <w:pPr>
              <w:pStyle w:val="Tabletext"/>
            </w:pPr>
            <w:r w:rsidRPr="00AF2AE2">
              <w:t>Open government data</w:t>
            </w:r>
          </w:p>
        </w:tc>
        <w:tc>
          <w:tcPr>
            <w:tcW w:w="6675" w:type="dxa"/>
            <w:tcBorders>
              <w:top w:val="single" w:sz="4" w:space="0" w:color="999999"/>
              <w:bottom w:val="single" w:sz="4" w:space="0" w:color="999999"/>
            </w:tcBorders>
          </w:tcPr>
          <w:p w:rsidR="00044EAA" w:rsidRPr="00AF2AE2" w:rsidRDefault="00044EAA" w:rsidP="00BD5AA2">
            <w:pPr>
              <w:pStyle w:val="Tabletext"/>
              <w:spacing w:after="0"/>
            </w:pPr>
            <w:r w:rsidRPr="00AF2AE2">
              <w:t>Data produced or commissioned by government or government controlled entities that can be freely used, reused and redistributed by anyone.</w:t>
            </w:r>
          </w:p>
        </w:tc>
      </w:tr>
      <w:tr w:rsidR="00044EAA" w:rsidRPr="00AF2AE2" w:rsidTr="00BD5AA2">
        <w:tblPrEx>
          <w:tblBorders>
            <w:top w:val="single" w:sz="4" w:space="0" w:color="999999"/>
            <w:bottom w:val="single" w:sz="4" w:space="0" w:color="999999"/>
            <w:insideH w:val="single" w:sz="4" w:space="0" w:color="999999"/>
          </w:tblBorders>
        </w:tblPrEx>
        <w:trPr>
          <w:trHeight w:val="528"/>
        </w:trPr>
        <w:tc>
          <w:tcPr>
            <w:tcW w:w="2410" w:type="dxa"/>
            <w:tcBorders>
              <w:top w:val="single" w:sz="4" w:space="0" w:color="999999"/>
              <w:bottom w:val="single" w:sz="4" w:space="0" w:color="999999"/>
              <w:right w:val="single" w:sz="4" w:space="0" w:color="999999"/>
            </w:tcBorders>
          </w:tcPr>
          <w:p w:rsidR="00044EAA" w:rsidRPr="00AF2AE2" w:rsidRDefault="00CA2332" w:rsidP="00BD5AA2">
            <w:pPr>
              <w:pStyle w:val="Tabletext"/>
              <w:rPr>
                <w:sz w:val="20"/>
                <w:szCs w:val="20"/>
              </w:rPr>
            </w:pPr>
            <w:r>
              <w:t>OCDO</w:t>
            </w:r>
          </w:p>
        </w:tc>
        <w:tc>
          <w:tcPr>
            <w:tcW w:w="6675" w:type="dxa"/>
            <w:tcBorders>
              <w:top w:val="single" w:sz="4" w:space="0" w:color="999999"/>
              <w:bottom w:val="single" w:sz="4" w:space="0" w:color="999999"/>
            </w:tcBorders>
          </w:tcPr>
          <w:p w:rsidR="00044EAA" w:rsidRPr="00AF2AE2" w:rsidRDefault="000A7B27" w:rsidP="00BD5AA2">
            <w:pPr>
              <w:pStyle w:val="Tabletext"/>
              <w:spacing w:after="0"/>
            </w:pPr>
            <w:r>
              <w:t>The Office of the Chief Digital Officer</w:t>
            </w:r>
            <w:r w:rsidR="00044EAA" w:rsidRPr="00AF2AE2">
              <w:t xml:space="preserve"> of the Chief Minister, Treasury and Economic Development Directorate.</w:t>
            </w:r>
          </w:p>
        </w:tc>
      </w:tr>
      <w:tr w:rsidR="00044EAA" w:rsidRPr="00AF2AE2" w:rsidTr="00BD5AA2">
        <w:tblPrEx>
          <w:tblBorders>
            <w:top w:val="single" w:sz="4" w:space="0" w:color="999999"/>
            <w:bottom w:val="single" w:sz="4" w:space="0" w:color="999999"/>
            <w:insideH w:val="single" w:sz="4" w:space="0" w:color="999999"/>
          </w:tblBorders>
        </w:tblPrEx>
        <w:trPr>
          <w:trHeight w:val="507"/>
        </w:trPr>
        <w:tc>
          <w:tcPr>
            <w:tcW w:w="2410" w:type="dxa"/>
            <w:tcBorders>
              <w:top w:val="single" w:sz="4" w:space="0" w:color="999999"/>
              <w:bottom w:val="single" w:sz="4" w:space="0" w:color="999999"/>
              <w:right w:val="single" w:sz="4" w:space="0" w:color="999999"/>
            </w:tcBorders>
          </w:tcPr>
          <w:p w:rsidR="00044EAA" w:rsidRPr="00AF2AE2" w:rsidRDefault="00044EAA" w:rsidP="00BD5AA2">
            <w:pPr>
              <w:pStyle w:val="Tabletext"/>
            </w:pPr>
            <w:r w:rsidRPr="00AF2AE2">
              <w:t>Personal information</w:t>
            </w:r>
          </w:p>
        </w:tc>
        <w:tc>
          <w:tcPr>
            <w:tcW w:w="6675" w:type="dxa"/>
            <w:tcBorders>
              <w:top w:val="single" w:sz="4" w:space="0" w:color="999999"/>
              <w:bottom w:val="single" w:sz="4" w:space="0" w:color="999999"/>
            </w:tcBorders>
          </w:tcPr>
          <w:p w:rsidR="00044EAA" w:rsidRPr="00AF2AE2" w:rsidRDefault="00044EAA" w:rsidP="00BD5AA2">
            <w:pPr>
              <w:pStyle w:val="BodyText"/>
              <w:spacing w:after="0"/>
              <w:rPr>
                <w:sz w:val="18"/>
                <w:szCs w:val="18"/>
              </w:rPr>
            </w:pPr>
            <w:r w:rsidRPr="00AF2AE2">
              <w:rPr>
                <w:sz w:val="18"/>
                <w:szCs w:val="18"/>
              </w:rPr>
              <w:t xml:space="preserve">Personal information is information or an opinion about an identified individual or an individual who is reasonably identifiable: </w:t>
            </w:r>
          </w:p>
          <w:p w:rsidR="00044EAA" w:rsidRPr="00AF2AE2" w:rsidRDefault="00044EAA" w:rsidP="00BD5AA2">
            <w:pPr>
              <w:pStyle w:val="BodyText"/>
              <w:numPr>
                <w:ilvl w:val="0"/>
                <w:numId w:val="26"/>
              </w:numPr>
              <w:spacing w:after="0"/>
              <w:rPr>
                <w:sz w:val="18"/>
                <w:szCs w:val="18"/>
              </w:rPr>
            </w:pPr>
            <w:r w:rsidRPr="00AF2AE2">
              <w:rPr>
                <w:sz w:val="18"/>
                <w:szCs w:val="18"/>
              </w:rPr>
              <w:t>whether the information is true or opinion is true or not; and</w:t>
            </w:r>
          </w:p>
          <w:p w:rsidR="00044EAA" w:rsidRPr="00AF2AE2" w:rsidRDefault="00044EAA" w:rsidP="00BD5AA2">
            <w:pPr>
              <w:pStyle w:val="BodyText"/>
              <w:numPr>
                <w:ilvl w:val="0"/>
                <w:numId w:val="26"/>
              </w:numPr>
              <w:spacing w:after="0"/>
              <w:rPr>
                <w:sz w:val="18"/>
                <w:szCs w:val="18"/>
              </w:rPr>
            </w:pPr>
            <w:r w:rsidRPr="00AF2AE2">
              <w:rPr>
                <w:sz w:val="18"/>
                <w:szCs w:val="18"/>
              </w:rPr>
              <w:t>whether the information or opinion is recorded in a material form or not;</w:t>
            </w:r>
          </w:p>
          <w:p w:rsidR="00044EAA" w:rsidRPr="00AF2AE2" w:rsidRDefault="00044EAA" w:rsidP="00BD5AA2">
            <w:pPr>
              <w:pStyle w:val="BodyText"/>
              <w:spacing w:after="0"/>
              <w:rPr>
                <w:sz w:val="18"/>
                <w:szCs w:val="18"/>
              </w:rPr>
            </w:pPr>
            <w:proofErr w:type="gramStart"/>
            <w:r w:rsidRPr="00AF2AE2">
              <w:rPr>
                <w:sz w:val="18"/>
                <w:szCs w:val="18"/>
              </w:rPr>
              <w:t>but</w:t>
            </w:r>
            <w:proofErr w:type="gramEnd"/>
            <w:r w:rsidRPr="00AF2AE2">
              <w:rPr>
                <w:sz w:val="18"/>
                <w:szCs w:val="18"/>
              </w:rPr>
              <w:t xml:space="preserve"> does not include personal health information.</w:t>
            </w:r>
          </w:p>
          <w:p w:rsidR="00044EAA" w:rsidRPr="00AF2AE2" w:rsidRDefault="00044EAA" w:rsidP="00BD5AA2">
            <w:pPr>
              <w:pStyle w:val="BodyText"/>
              <w:spacing w:after="0"/>
              <w:rPr>
                <w:sz w:val="18"/>
                <w:szCs w:val="18"/>
              </w:rPr>
            </w:pPr>
          </w:p>
        </w:tc>
      </w:tr>
      <w:tr w:rsidR="001A3189" w:rsidRPr="00AF2AE2" w:rsidTr="00BD5AA2">
        <w:tblPrEx>
          <w:tblBorders>
            <w:top w:val="single" w:sz="4" w:space="0" w:color="999999"/>
            <w:bottom w:val="single" w:sz="4" w:space="0" w:color="999999"/>
            <w:insideH w:val="single" w:sz="4" w:space="0" w:color="999999"/>
          </w:tblBorders>
        </w:tblPrEx>
        <w:trPr>
          <w:trHeight w:val="507"/>
        </w:trPr>
        <w:tc>
          <w:tcPr>
            <w:tcW w:w="2410" w:type="dxa"/>
            <w:tcBorders>
              <w:top w:val="single" w:sz="4" w:space="0" w:color="999999"/>
              <w:bottom w:val="single" w:sz="4" w:space="0" w:color="999999"/>
              <w:right w:val="single" w:sz="4" w:space="0" w:color="999999"/>
            </w:tcBorders>
          </w:tcPr>
          <w:p w:rsidR="001A3189" w:rsidRPr="00B877A0" w:rsidRDefault="001A3189" w:rsidP="00BD5AA2">
            <w:pPr>
              <w:pStyle w:val="Tabletext"/>
            </w:pPr>
            <w:r w:rsidRPr="00B877A0">
              <w:lastRenderedPageBreak/>
              <w:t>Prioritised data</w:t>
            </w:r>
          </w:p>
        </w:tc>
        <w:tc>
          <w:tcPr>
            <w:tcW w:w="6675" w:type="dxa"/>
            <w:tcBorders>
              <w:top w:val="single" w:sz="4" w:space="0" w:color="999999"/>
              <w:bottom w:val="single" w:sz="4" w:space="0" w:color="999999"/>
            </w:tcBorders>
          </w:tcPr>
          <w:p w:rsidR="001A3189" w:rsidRPr="00AF2AE2" w:rsidRDefault="001A3189" w:rsidP="001A3189">
            <w:pPr>
              <w:pStyle w:val="BodyText"/>
              <w:spacing w:after="0"/>
              <w:rPr>
                <w:sz w:val="18"/>
                <w:szCs w:val="18"/>
              </w:rPr>
            </w:pPr>
            <w:r w:rsidRPr="00B877A0">
              <w:rPr>
                <w:sz w:val="18"/>
                <w:szCs w:val="18"/>
              </w:rPr>
              <w:t>Data that has been prioritised by a Directorate or Agency in accordance with relevant Standard Operating Procedures.</w:t>
            </w:r>
          </w:p>
        </w:tc>
      </w:tr>
      <w:tr w:rsidR="00044EAA" w:rsidRPr="00AF2AE2" w:rsidTr="00BD5AA2">
        <w:tblPrEx>
          <w:tblBorders>
            <w:top w:val="single" w:sz="4" w:space="0" w:color="999999"/>
            <w:bottom w:val="single" w:sz="4" w:space="0" w:color="999999"/>
            <w:insideH w:val="single" w:sz="4" w:space="0" w:color="999999"/>
          </w:tblBorders>
        </w:tblPrEx>
        <w:trPr>
          <w:trHeight w:val="381"/>
        </w:trPr>
        <w:tc>
          <w:tcPr>
            <w:tcW w:w="2410" w:type="dxa"/>
            <w:tcBorders>
              <w:top w:val="single" w:sz="4" w:space="0" w:color="999999"/>
              <w:bottom w:val="single" w:sz="4" w:space="0" w:color="999999"/>
              <w:right w:val="single" w:sz="4" w:space="0" w:color="999999"/>
            </w:tcBorders>
          </w:tcPr>
          <w:p w:rsidR="00044EAA" w:rsidRPr="00AF2AE2" w:rsidRDefault="00044EAA" w:rsidP="00BD5AA2">
            <w:pPr>
              <w:pStyle w:val="Tabletext"/>
            </w:pPr>
            <w:r w:rsidRPr="00AF2AE2">
              <w:t xml:space="preserve">Real-time data </w:t>
            </w:r>
          </w:p>
          <w:p w:rsidR="00044EAA" w:rsidRPr="00AF2AE2" w:rsidRDefault="00044EAA" w:rsidP="00BD5AA2">
            <w:pPr>
              <w:pStyle w:val="Tabletext"/>
            </w:pPr>
          </w:p>
        </w:tc>
        <w:tc>
          <w:tcPr>
            <w:tcW w:w="6675" w:type="dxa"/>
            <w:tcBorders>
              <w:top w:val="single" w:sz="4" w:space="0" w:color="999999"/>
              <w:bottom w:val="single" w:sz="4" w:space="0" w:color="999999"/>
            </w:tcBorders>
          </w:tcPr>
          <w:p w:rsidR="00044EAA" w:rsidRPr="00AF2AE2" w:rsidRDefault="00044EAA" w:rsidP="00BD5AA2">
            <w:pPr>
              <w:pStyle w:val="Tabletext"/>
            </w:pPr>
            <w:r w:rsidRPr="00AF2AE2">
              <w:t>Data subject to ‘real-time constraint’— e.g. operational deadlines from event to system response often in the order of milliseconds or microseconds. This is relevant for example in the public provision of Real-Time bus location information.</w:t>
            </w:r>
          </w:p>
        </w:tc>
      </w:tr>
      <w:tr w:rsidR="00044EAA" w:rsidRPr="00AF2AE2" w:rsidTr="00BD5AA2">
        <w:tblPrEx>
          <w:tblBorders>
            <w:top w:val="single" w:sz="4" w:space="0" w:color="999999"/>
            <w:bottom w:val="single" w:sz="4" w:space="0" w:color="999999"/>
            <w:insideH w:val="single" w:sz="4" w:space="0" w:color="999999"/>
          </w:tblBorders>
        </w:tblPrEx>
        <w:trPr>
          <w:trHeight w:val="1025"/>
        </w:trPr>
        <w:tc>
          <w:tcPr>
            <w:tcW w:w="2410" w:type="dxa"/>
            <w:tcBorders>
              <w:top w:val="single" w:sz="4" w:space="0" w:color="999999"/>
              <w:bottom w:val="single" w:sz="4" w:space="0" w:color="999999"/>
              <w:right w:val="single" w:sz="4" w:space="0" w:color="999999"/>
            </w:tcBorders>
          </w:tcPr>
          <w:p w:rsidR="00044EAA" w:rsidRPr="00AF2AE2" w:rsidRDefault="00044EAA" w:rsidP="00BD5AA2">
            <w:pPr>
              <w:pStyle w:val="Tabletext"/>
            </w:pPr>
            <w:r w:rsidRPr="00AF2AE2">
              <w:t>Record</w:t>
            </w:r>
          </w:p>
          <w:p w:rsidR="00044EAA" w:rsidRPr="00AF2AE2" w:rsidRDefault="00044EAA" w:rsidP="00BD5AA2">
            <w:pPr>
              <w:pStyle w:val="Tabletext"/>
            </w:pPr>
          </w:p>
          <w:p w:rsidR="00044EAA" w:rsidRPr="00AF2AE2" w:rsidRDefault="00044EAA" w:rsidP="00BD5AA2">
            <w:pPr>
              <w:pStyle w:val="Tabletext"/>
            </w:pPr>
          </w:p>
        </w:tc>
        <w:tc>
          <w:tcPr>
            <w:tcW w:w="6675" w:type="dxa"/>
            <w:tcBorders>
              <w:top w:val="single" w:sz="4" w:space="0" w:color="999999"/>
              <w:bottom w:val="single" w:sz="4" w:space="0" w:color="999999"/>
            </w:tcBorders>
          </w:tcPr>
          <w:p w:rsidR="00044EAA" w:rsidRPr="00AF2AE2" w:rsidRDefault="00044EAA" w:rsidP="00BD5AA2">
            <w:pPr>
              <w:pStyle w:val="Tabletext"/>
              <w:spacing w:after="0"/>
            </w:pPr>
            <w:r w:rsidRPr="00AF2AE2">
              <w:t>Information created and kept, or received and kept, as</w:t>
            </w:r>
          </w:p>
          <w:p w:rsidR="00044EAA" w:rsidRPr="00AF2AE2" w:rsidRDefault="00044EAA" w:rsidP="00BD5AA2">
            <w:pPr>
              <w:pStyle w:val="Tabletext"/>
              <w:spacing w:after="0"/>
            </w:pPr>
            <w:r w:rsidRPr="00AF2AE2">
              <w:t>evidence and information by a person in accordance with a</w:t>
            </w:r>
          </w:p>
          <w:p w:rsidR="00044EAA" w:rsidRPr="00AF2AE2" w:rsidRDefault="00044EAA" w:rsidP="00BD5AA2">
            <w:pPr>
              <w:pStyle w:val="Tabletext"/>
              <w:spacing w:after="0"/>
            </w:pPr>
            <w:r w:rsidRPr="00AF2AE2">
              <w:t>legal obligation or in the course of conducting business; and</w:t>
            </w:r>
          </w:p>
          <w:p w:rsidR="00044EAA" w:rsidRPr="00AF2AE2" w:rsidRDefault="00044EAA" w:rsidP="00BD5AA2">
            <w:pPr>
              <w:pStyle w:val="Tabletext"/>
            </w:pPr>
            <w:proofErr w:type="gramStart"/>
            <w:r w:rsidRPr="00AF2AE2">
              <w:t>includes</w:t>
            </w:r>
            <w:proofErr w:type="gramEnd"/>
            <w:r w:rsidRPr="00AF2AE2">
              <w:t xml:space="preserve"> information in written, electronic or any other form.</w:t>
            </w:r>
            <w:r w:rsidRPr="00AF2AE2">
              <w:rPr>
                <w:rStyle w:val="EndnoteReference"/>
              </w:rPr>
              <w:endnoteReference w:id="1"/>
            </w:r>
          </w:p>
        </w:tc>
      </w:tr>
      <w:tr w:rsidR="00044EAA" w:rsidRPr="00AF2AE2" w:rsidTr="00BD5AA2">
        <w:tblPrEx>
          <w:tblBorders>
            <w:top w:val="single" w:sz="4" w:space="0" w:color="999999"/>
            <w:bottom w:val="single" w:sz="4" w:space="0" w:color="999999"/>
            <w:insideH w:val="single" w:sz="4" w:space="0" w:color="999999"/>
          </w:tblBorders>
        </w:tblPrEx>
        <w:trPr>
          <w:trHeight w:val="566"/>
        </w:trPr>
        <w:tc>
          <w:tcPr>
            <w:tcW w:w="2410" w:type="dxa"/>
            <w:tcBorders>
              <w:top w:val="single" w:sz="4" w:space="0" w:color="999999"/>
              <w:bottom w:val="single" w:sz="4" w:space="0" w:color="999999"/>
              <w:right w:val="single" w:sz="4" w:space="0" w:color="999999"/>
            </w:tcBorders>
          </w:tcPr>
          <w:p w:rsidR="00044EAA" w:rsidRPr="00AF2AE2" w:rsidRDefault="00044EAA" w:rsidP="00BD5AA2">
            <w:pPr>
              <w:pStyle w:val="Tabletext"/>
            </w:pPr>
            <w:r w:rsidRPr="00AF2AE2">
              <w:t>Report</w:t>
            </w:r>
          </w:p>
        </w:tc>
        <w:tc>
          <w:tcPr>
            <w:tcW w:w="6675" w:type="dxa"/>
            <w:tcBorders>
              <w:top w:val="single" w:sz="4" w:space="0" w:color="999999"/>
              <w:bottom w:val="single" w:sz="4" w:space="0" w:color="999999"/>
            </w:tcBorders>
          </w:tcPr>
          <w:p w:rsidR="00044EAA" w:rsidRPr="00AF2AE2" w:rsidRDefault="00044EAA" w:rsidP="00BD5AA2">
            <w:pPr>
              <w:pStyle w:val="Tabletext"/>
            </w:pPr>
            <w:r w:rsidRPr="00AF2AE2">
              <w:rPr>
                <w:rFonts w:cs="Arial"/>
              </w:rPr>
              <w:t>A mostly written narrative often containing interpretations of data provided in a form aiming to communicate to people</w:t>
            </w:r>
            <w:r w:rsidR="001A3189">
              <w:rPr>
                <w:rFonts w:cs="Arial"/>
              </w:rPr>
              <w:t>, that is in addition to metadata</w:t>
            </w:r>
            <w:r w:rsidRPr="00AF2AE2">
              <w:rPr>
                <w:rFonts w:cs="Arial"/>
              </w:rPr>
              <w:t>.</w:t>
            </w:r>
          </w:p>
        </w:tc>
      </w:tr>
    </w:tbl>
    <w:p w:rsidR="00F4361A" w:rsidRDefault="00F4361A" w:rsidP="00F4361A">
      <w:pPr>
        <w:rPr>
          <w:b/>
        </w:rPr>
      </w:pPr>
    </w:p>
    <w:p w:rsidR="00F4361A" w:rsidRDefault="00F4361A" w:rsidP="00F4361A">
      <w:r w:rsidRPr="00F4361A">
        <w:rPr>
          <w:b/>
        </w:rPr>
        <w:t>Note:</w:t>
      </w:r>
      <w:r w:rsidRPr="00F4361A">
        <w:t xml:space="preserve"> other terms may be found in the </w:t>
      </w:r>
      <w:hyperlink r:id="rId25" w:history="1">
        <w:r w:rsidRPr="00F4361A">
          <w:rPr>
            <w:rStyle w:val="Hyperlink"/>
          </w:rPr>
          <w:t>Shared Services ICT Glossary of Terms</w:t>
        </w:r>
      </w:hyperlink>
      <w:r w:rsidRPr="00F4361A">
        <w:t>.</w:t>
      </w:r>
    </w:p>
    <w:p w:rsidR="00F8750D" w:rsidRPr="00AF2AE2" w:rsidRDefault="00F8750D" w:rsidP="00BF1D3F">
      <w:pPr>
        <w:pStyle w:val="Heading1"/>
      </w:pPr>
      <w:bookmarkStart w:id="63" w:name="_Toc450139414"/>
      <w:r w:rsidRPr="00AF2AE2">
        <w:t>Appendix</w:t>
      </w:r>
      <w:bookmarkEnd w:id="54"/>
      <w:bookmarkEnd w:id="55"/>
      <w:bookmarkEnd w:id="56"/>
      <w:bookmarkEnd w:id="57"/>
      <w:bookmarkEnd w:id="63"/>
    </w:p>
    <w:p w:rsidR="00F8750D" w:rsidRPr="00AF2AE2" w:rsidRDefault="00F8750D" w:rsidP="00BF1D3F">
      <w:pPr>
        <w:pStyle w:val="Heading2"/>
      </w:pPr>
      <w:bookmarkStart w:id="64" w:name="_Toc91491843"/>
      <w:bookmarkStart w:id="65" w:name="_Toc139942404"/>
      <w:bookmarkStart w:id="66" w:name="_Toc300215069"/>
      <w:bookmarkStart w:id="67" w:name="_Toc450139415"/>
      <w:bookmarkEnd w:id="58"/>
      <w:bookmarkEnd w:id="59"/>
      <w:r w:rsidRPr="00AF2AE2">
        <w:t>Amendment history</w:t>
      </w:r>
      <w:bookmarkEnd w:id="64"/>
      <w:bookmarkEnd w:id="65"/>
      <w:bookmarkEnd w:id="66"/>
      <w:bookmarkEnd w:id="67"/>
    </w:p>
    <w:tbl>
      <w:tblPr>
        <w:tblW w:w="5062" w:type="pct"/>
        <w:tblLayout w:type="fixed"/>
        <w:tblLook w:val="01E0"/>
      </w:tblPr>
      <w:tblGrid>
        <w:gridCol w:w="1105"/>
        <w:gridCol w:w="1460"/>
        <w:gridCol w:w="4999"/>
        <w:gridCol w:w="1837"/>
      </w:tblGrid>
      <w:tr w:rsidR="00F8750D" w:rsidRPr="00AF2AE2" w:rsidTr="00F4361A">
        <w:trPr>
          <w:tblHeader/>
        </w:trPr>
        <w:tc>
          <w:tcPr>
            <w:tcW w:w="1105" w:type="dxa"/>
            <w:tcBorders>
              <w:top w:val="single" w:sz="4" w:space="0" w:color="808080"/>
              <w:bottom w:val="single" w:sz="4" w:space="0" w:color="808080"/>
            </w:tcBorders>
          </w:tcPr>
          <w:p w:rsidR="00F8750D" w:rsidRPr="00AF2AE2" w:rsidRDefault="00F8750D" w:rsidP="00FC1D0A">
            <w:pPr>
              <w:pStyle w:val="TableHeading"/>
            </w:pPr>
            <w:bookmarkStart w:id="68" w:name="_Toc449418501"/>
            <w:r w:rsidRPr="00AF2AE2">
              <w:t>Version</w:t>
            </w:r>
            <w:bookmarkEnd w:id="68"/>
          </w:p>
        </w:tc>
        <w:tc>
          <w:tcPr>
            <w:tcW w:w="1460" w:type="dxa"/>
            <w:tcBorders>
              <w:top w:val="single" w:sz="4" w:space="0" w:color="808080"/>
              <w:bottom w:val="single" w:sz="4" w:space="0" w:color="808080"/>
            </w:tcBorders>
          </w:tcPr>
          <w:p w:rsidR="00F8750D" w:rsidRPr="00AF2AE2" w:rsidRDefault="00F8750D" w:rsidP="00FC1D0A">
            <w:pPr>
              <w:pStyle w:val="TableHeading"/>
            </w:pPr>
            <w:bookmarkStart w:id="69" w:name="_Toc449418502"/>
            <w:r w:rsidRPr="00AF2AE2">
              <w:t>Issue date</w:t>
            </w:r>
            <w:bookmarkEnd w:id="69"/>
          </w:p>
        </w:tc>
        <w:tc>
          <w:tcPr>
            <w:tcW w:w="4999" w:type="dxa"/>
            <w:tcBorders>
              <w:top w:val="single" w:sz="4" w:space="0" w:color="808080"/>
              <w:bottom w:val="single" w:sz="4" w:space="0" w:color="808080"/>
            </w:tcBorders>
          </w:tcPr>
          <w:p w:rsidR="00F8750D" w:rsidRPr="00AF2AE2" w:rsidRDefault="00F8750D" w:rsidP="00FC1D0A">
            <w:pPr>
              <w:pStyle w:val="TableHeading"/>
            </w:pPr>
            <w:bookmarkStart w:id="70" w:name="_Toc449418503"/>
            <w:r w:rsidRPr="00AF2AE2">
              <w:t>Amendment</w:t>
            </w:r>
            <w:bookmarkEnd w:id="70"/>
            <w:r w:rsidRPr="00AF2AE2">
              <w:t xml:space="preserve"> details</w:t>
            </w:r>
          </w:p>
        </w:tc>
        <w:tc>
          <w:tcPr>
            <w:tcW w:w="1837" w:type="dxa"/>
            <w:tcBorders>
              <w:top w:val="single" w:sz="4" w:space="0" w:color="808080"/>
              <w:bottom w:val="single" w:sz="4" w:space="0" w:color="808080"/>
            </w:tcBorders>
          </w:tcPr>
          <w:p w:rsidR="00F8750D" w:rsidRPr="00AF2AE2" w:rsidRDefault="00F8750D" w:rsidP="00FC1D0A">
            <w:pPr>
              <w:pStyle w:val="TableHeading"/>
            </w:pPr>
            <w:r w:rsidRPr="00AF2AE2">
              <w:t>Author</w:t>
            </w:r>
          </w:p>
        </w:tc>
      </w:tr>
      <w:tr w:rsidR="00F8750D" w:rsidRPr="00AF2AE2" w:rsidTr="00F4361A">
        <w:trPr>
          <w:trHeight w:val="322"/>
        </w:trPr>
        <w:tc>
          <w:tcPr>
            <w:tcW w:w="1105" w:type="dxa"/>
            <w:tcBorders>
              <w:top w:val="single" w:sz="4" w:space="0" w:color="808080"/>
              <w:bottom w:val="single" w:sz="4" w:space="0" w:color="808080"/>
            </w:tcBorders>
          </w:tcPr>
          <w:p w:rsidR="00F8750D" w:rsidRPr="00AF2AE2" w:rsidRDefault="00F8750D" w:rsidP="00FC1D0A">
            <w:pPr>
              <w:pStyle w:val="Tabletext"/>
            </w:pPr>
            <w:r w:rsidRPr="00AF2AE2">
              <w:t>1.0</w:t>
            </w:r>
          </w:p>
        </w:tc>
        <w:tc>
          <w:tcPr>
            <w:tcW w:w="1460" w:type="dxa"/>
            <w:tcBorders>
              <w:top w:val="single" w:sz="4" w:space="0" w:color="808080"/>
              <w:bottom w:val="single" w:sz="4" w:space="0" w:color="808080"/>
            </w:tcBorders>
          </w:tcPr>
          <w:p w:rsidR="00F8750D" w:rsidRPr="00AF2AE2" w:rsidRDefault="00F8750D" w:rsidP="00FC1D0A">
            <w:pPr>
              <w:pStyle w:val="Tabletext"/>
            </w:pPr>
            <w:r w:rsidRPr="00AF2AE2">
              <w:t>17 Mar 2015</w:t>
            </w:r>
          </w:p>
        </w:tc>
        <w:tc>
          <w:tcPr>
            <w:tcW w:w="4999" w:type="dxa"/>
            <w:tcBorders>
              <w:top w:val="single" w:sz="4" w:space="0" w:color="808080"/>
              <w:bottom w:val="single" w:sz="4" w:space="0" w:color="808080"/>
            </w:tcBorders>
          </w:tcPr>
          <w:p w:rsidR="00F8750D" w:rsidRPr="00AF2AE2" w:rsidRDefault="00462D0F" w:rsidP="00FC1D0A">
            <w:pPr>
              <w:pStyle w:val="Tabletext"/>
            </w:pPr>
            <w:r>
              <w:t>Initial draft</w:t>
            </w:r>
          </w:p>
        </w:tc>
        <w:tc>
          <w:tcPr>
            <w:tcW w:w="1837" w:type="dxa"/>
            <w:tcBorders>
              <w:top w:val="single" w:sz="4" w:space="0" w:color="808080"/>
              <w:bottom w:val="single" w:sz="4" w:space="0" w:color="808080"/>
            </w:tcBorders>
          </w:tcPr>
          <w:p w:rsidR="00F8750D" w:rsidRPr="00AF2AE2" w:rsidRDefault="00462D0F" w:rsidP="00FC1D0A">
            <w:pPr>
              <w:pStyle w:val="Tabletext"/>
            </w:pPr>
            <w:r>
              <w:t>GIO</w:t>
            </w:r>
          </w:p>
        </w:tc>
      </w:tr>
      <w:tr w:rsidR="00DE3839" w:rsidRPr="00AF2AE2" w:rsidTr="00F4361A">
        <w:trPr>
          <w:trHeight w:val="322"/>
        </w:trPr>
        <w:tc>
          <w:tcPr>
            <w:tcW w:w="1105" w:type="dxa"/>
            <w:tcBorders>
              <w:top w:val="single" w:sz="4" w:space="0" w:color="808080"/>
              <w:bottom w:val="single" w:sz="4" w:space="0" w:color="808080"/>
            </w:tcBorders>
          </w:tcPr>
          <w:p w:rsidR="00DE3839" w:rsidRDefault="00DE3839" w:rsidP="00FC1D0A">
            <w:pPr>
              <w:pStyle w:val="Tabletext"/>
            </w:pPr>
            <w:r>
              <w:t>2.0</w:t>
            </w:r>
          </w:p>
        </w:tc>
        <w:tc>
          <w:tcPr>
            <w:tcW w:w="1460" w:type="dxa"/>
            <w:tcBorders>
              <w:top w:val="single" w:sz="4" w:space="0" w:color="808080"/>
              <w:bottom w:val="single" w:sz="4" w:space="0" w:color="808080"/>
            </w:tcBorders>
          </w:tcPr>
          <w:p w:rsidR="00DE3839" w:rsidRDefault="006B7B84" w:rsidP="006B7B84">
            <w:pPr>
              <w:pStyle w:val="Tabletext"/>
            </w:pPr>
            <w:r>
              <w:t>15</w:t>
            </w:r>
            <w:r w:rsidR="00DE3839">
              <w:t xml:space="preserve"> </w:t>
            </w:r>
            <w:r>
              <w:t>Dec</w:t>
            </w:r>
            <w:r w:rsidR="00DE3839">
              <w:t xml:space="preserve"> 201</w:t>
            </w:r>
            <w:r>
              <w:t>5</w:t>
            </w:r>
          </w:p>
        </w:tc>
        <w:tc>
          <w:tcPr>
            <w:tcW w:w="4999" w:type="dxa"/>
            <w:tcBorders>
              <w:top w:val="single" w:sz="4" w:space="0" w:color="808080"/>
              <w:bottom w:val="single" w:sz="4" w:space="0" w:color="808080"/>
            </w:tcBorders>
          </w:tcPr>
          <w:p w:rsidR="00DE3839" w:rsidRDefault="006B7B84" w:rsidP="006B7B84">
            <w:pPr>
              <w:pStyle w:val="Tabletext"/>
            </w:pPr>
            <w:r>
              <w:t>Cabinet endorsed i</w:t>
            </w:r>
            <w:r w:rsidR="00DE3839">
              <w:t>nitial release</w:t>
            </w:r>
          </w:p>
        </w:tc>
        <w:tc>
          <w:tcPr>
            <w:tcW w:w="1837" w:type="dxa"/>
            <w:tcBorders>
              <w:top w:val="single" w:sz="4" w:space="0" w:color="808080"/>
              <w:bottom w:val="single" w:sz="4" w:space="0" w:color="808080"/>
            </w:tcBorders>
          </w:tcPr>
          <w:p w:rsidR="00DE3839" w:rsidRDefault="00DE3839" w:rsidP="00FC1D0A">
            <w:pPr>
              <w:pStyle w:val="Tabletext"/>
            </w:pPr>
            <w:r>
              <w:t>Office of the Chief Digital Officer</w:t>
            </w:r>
          </w:p>
        </w:tc>
      </w:tr>
    </w:tbl>
    <w:p w:rsidR="00F8750D" w:rsidRPr="00F4361A" w:rsidRDefault="00F4361A" w:rsidP="00F4361A">
      <w:pPr>
        <w:pStyle w:val="BodyText"/>
      </w:pPr>
      <w:r w:rsidRPr="00AF2AE2">
        <w:rPr>
          <w:b/>
          <w:bCs/>
        </w:rPr>
        <w:t xml:space="preserve">Note: </w:t>
      </w:r>
      <w:r w:rsidRPr="00AF2AE2">
        <w:t>This is a CONTROLLED document. Any documents appearing in paper form are not controlled and should be checked against the intranet version prior to use</w:t>
      </w:r>
      <w:r>
        <w:t>.</w:t>
      </w:r>
    </w:p>
    <w:sectPr w:rsidR="00F8750D" w:rsidRPr="00F4361A" w:rsidSect="00FD3772">
      <w:headerReference w:type="even" r:id="rId26"/>
      <w:headerReference w:type="default" r:id="rId27"/>
      <w:footerReference w:type="default" r:id="rId28"/>
      <w:headerReference w:type="first" r:id="rId29"/>
      <w:pgSz w:w="11906" w:h="16838" w:code="9"/>
      <w:pgMar w:top="1418" w:right="1418" w:bottom="1418" w:left="1418" w:header="680"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D3F" w:rsidRDefault="00BF1D3F">
      <w:r>
        <w:separator/>
      </w:r>
    </w:p>
  </w:endnote>
  <w:endnote w:type="continuationSeparator" w:id="0">
    <w:p w:rsidR="00BF1D3F" w:rsidRDefault="00BF1D3F">
      <w:r>
        <w:continuationSeparator/>
      </w:r>
    </w:p>
  </w:endnote>
  <w:endnote w:id="1">
    <w:p w:rsidR="00BF1D3F" w:rsidRDefault="00BF1D3F" w:rsidP="00044EAA">
      <w:pPr>
        <w:pStyle w:val="EndnoteText"/>
      </w:pPr>
      <w:r>
        <w:t>As defined in the dictionary of the</w:t>
      </w:r>
      <w:r w:rsidRPr="00F4361A">
        <w:rPr>
          <w:i/>
        </w:rPr>
        <w:t xml:space="preserve"> Territory Records Act 2002</w:t>
      </w:r>
      <w:r>
        <w:t>, A2002-18</w:t>
      </w:r>
    </w:p>
    <w:p w:rsidR="00BF1D3F" w:rsidRDefault="00BF1D3F" w:rsidP="00044EAA">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3F" w:rsidRDefault="00BF1D3F" w:rsidP="0009554E">
    <w:pPr>
      <w:pStyle w:val="intactlogo"/>
      <w:rPr>
        <w:b w:val="0"/>
        <w:sz w:val="32"/>
        <w:szCs w:val="32"/>
      </w:rPr>
    </w:pPr>
    <w:r>
      <w:rPr>
        <w:b w:val="0"/>
        <w:sz w:val="32"/>
        <w:szCs w:val="32"/>
      </w:rPr>
      <w:t>Office of the Chief Digital Officer</w:t>
    </w:r>
  </w:p>
  <w:p w:rsidR="00BF1D3F" w:rsidRPr="0006007B" w:rsidRDefault="00BF1D3F" w:rsidP="0009554E">
    <w:pPr>
      <w:pStyle w:val="intactlogo"/>
      <w:rPr>
        <w:rFonts w:ascii="Verdana" w:hAnsi="Verdana"/>
        <w:b w:val="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3F" w:rsidRPr="009727A9" w:rsidRDefault="00BF1D3F">
    <w:pPr>
      <w:pStyle w:val="Footer"/>
      <w:tabs>
        <w:tab w:val="clear" w:pos="8505"/>
        <w:tab w:val="right" w:pos="8931"/>
      </w:tabs>
      <w:spacing w:after="0"/>
    </w:pPr>
    <w:r w:rsidRPr="009727A9">
      <w:t xml:space="preserve">Date issued: </w:t>
    </w:r>
    <w:r w:rsidR="005A7680">
      <w:t>December 2015</w:t>
    </w:r>
    <w:r w:rsidRPr="009727A9">
      <w:tab/>
      <w:t>Version:</w:t>
    </w:r>
    <w:r>
      <w:t xml:space="preserve"> 2.0</w:t>
    </w:r>
    <w:r w:rsidRPr="009727A9">
      <w:tab/>
      <w:t xml:space="preserve">Page </w:t>
    </w:r>
    <w:r w:rsidR="009D6D85">
      <w:fldChar w:fldCharType="begin"/>
    </w:r>
    <w:r w:rsidR="005A7680">
      <w:instrText xml:space="preserve"> PAGE </w:instrText>
    </w:r>
    <w:r w:rsidR="009D6D85">
      <w:fldChar w:fldCharType="separate"/>
    </w:r>
    <w:r w:rsidR="00E13FC8">
      <w:rPr>
        <w:noProof/>
      </w:rPr>
      <w:t>2</w:t>
    </w:r>
    <w:r w:rsidR="009D6D85">
      <w:rPr>
        <w:noProof/>
      </w:rPr>
      <w:fldChar w:fldCharType="end"/>
    </w:r>
    <w:r w:rsidRPr="009727A9">
      <w:t xml:space="preserve"> of </w:t>
    </w:r>
    <w:r w:rsidR="009D6D85">
      <w:fldChar w:fldCharType="begin"/>
    </w:r>
    <w:r w:rsidR="005A7680">
      <w:instrText xml:space="preserve"> NUMPAGES </w:instrText>
    </w:r>
    <w:r w:rsidR="009D6D85">
      <w:fldChar w:fldCharType="separate"/>
    </w:r>
    <w:r w:rsidR="00E13FC8">
      <w:rPr>
        <w:noProof/>
      </w:rPr>
      <w:t>2</w:t>
    </w:r>
    <w:r w:rsidR="009D6D85">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3F" w:rsidRPr="00C97D5C" w:rsidRDefault="00BF1D3F">
    <w:pPr>
      <w:pStyle w:val="Footer"/>
      <w:tabs>
        <w:tab w:val="clear" w:pos="8505"/>
        <w:tab w:val="right" w:pos="8931"/>
      </w:tabs>
      <w:spacing w:after="0"/>
    </w:pPr>
    <w:r w:rsidRPr="00C97D5C">
      <w:t xml:space="preserve">Date issued: </w:t>
    </w:r>
    <w:r>
      <w:t>December 2015</w:t>
    </w:r>
    <w:fldSimple w:instr=" REF  IssueDate  \* MERGEFORMAT ">
      <w:r w:rsidRPr="00C504A4">
        <w:rPr>
          <w:lang w:val="en-US"/>
        </w:rPr>
        <w:t xml:space="preserve"> </w:t>
      </w:r>
    </w:fldSimple>
    <w:r w:rsidRPr="00C97D5C">
      <w:tab/>
      <w:t>Version:</w:t>
    </w:r>
    <w:r>
      <w:t xml:space="preserve"> 2.0</w:t>
    </w:r>
    <w:r w:rsidRPr="00C97D5C">
      <w:tab/>
      <w:t xml:space="preserve">Page </w:t>
    </w:r>
    <w:r w:rsidR="009D6D85">
      <w:fldChar w:fldCharType="begin"/>
    </w:r>
    <w:r w:rsidR="005A7680">
      <w:instrText xml:space="preserve"> PAGE </w:instrText>
    </w:r>
    <w:r w:rsidR="009D6D85">
      <w:fldChar w:fldCharType="separate"/>
    </w:r>
    <w:r w:rsidR="00E13FC8">
      <w:rPr>
        <w:noProof/>
      </w:rPr>
      <w:t>9</w:t>
    </w:r>
    <w:r w:rsidR="009D6D85">
      <w:rPr>
        <w:noProof/>
      </w:rPr>
      <w:fldChar w:fldCharType="end"/>
    </w:r>
    <w:r w:rsidRPr="00C97D5C">
      <w:t xml:space="preserve"> of </w:t>
    </w:r>
    <w:r w:rsidR="009D6D85">
      <w:fldChar w:fldCharType="begin"/>
    </w:r>
    <w:r w:rsidR="005A7680">
      <w:instrText xml:space="preserve"> NUMPAGES </w:instrText>
    </w:r>
    <w:r w:rsidR="009D6D85">
      <w:fldChar w:fldCharType="separate"/>
    </w:r>
    <w:r w:rsidR="00E13FC8">
      <w:rPr>
        <w:noProof/>
      </w:rPr>
      <w:t>9</w:t>
    </w:r>
    <w:r w:rsidR="009D6D85">
      <w:rPr>
        <w:noProof/>
      </w:rPr>
      <w:fldChar w:fldCharType="end"/>
    </w:r>
  </w:p>
  <w:p w:rsidR="00BF1D3F" w:rsidRDefault="00BF1D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D3F" w:rsidRDefault="00BF1D3F">
      <w:r>
        <w:separator/>
      </w:r>
    </w:p>
  </w:footnote>
  <w:footnote w:type="continuationSeparator" w:id="0">
    <w:p w:rsidR="00BF1D3F" w:rsidRDefault="00BF1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3F" w:rsidRDefault="00BF1D3F">
    <w:pPr>
      <w:ind w:left="4153" w:hanging="415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3F" w:rsidRPr="00C504A4" w:rsidRDefault="009D6D85" w:rsidP="00C504A4">
    <w:pPr>
      <w:pStyle w:val="Header"/>
      <w:tabs>
        <w:tab w:val="right" w:pos="9072"/>
      </w:tabs>
      <w:jc w:val="right"/>
      <w:rPr>
        <w:sz w:val="16"/>
        <w:szCs w:val="16"/>
      </w:rPr>
    </w:pPr>
    <w:r>
      <w:fldChar w:fldCharType="begin"/>
    </w:r>
    <w:r w:rsidR="00BF1D3F">
      <w:instrText xml:space="preserve"> REF  DocumentTitle  \* MERGEFORMAT </w:instrText>
    </w:r>
    <w:r>
      <w:fldChar w:fldCharType="separate"/>
    </w:r>
  </w:p>
  <w:p w:rsidR="00BF1D3F" w:rsidRPr="00C504A4" w:rsidRDefault="00BF1D3F" w:rsidP="00C504A4">
    <w:pPr>
      <w:pStyle w:val="Header"/>
      <w:tabs>
        <w:tab w:val="right" w:pos="9072"/>
      </w:tabs>
      <w:jc w:val="right"/>
      <w:rPr>
        <w:sz w:val="16"/>
        <w:szCs w:val="16"/>
      </w:rPr>
    </w:pPr>
  </w:p>
  <w:p w:rsidR="00BF1D3F" w:rsidRPr="00BB677B" w:rsidRDefault="00BF1D3F">
    <w:pPr>
      <w:pStyle w:val="Header"/>
      <w:tabs>
        <w:tab w:val="clear" w:pos="8505"/>
        <w:tab w:val="right" w:pos="9072"/>
      </w:tabs>
      <w:jc w:val="right"/>
      <w:rPr>
        <w:sz w:val="16"/>
        <w:szCs w:val="16"/>
      </w:rPr>
    </w:pPr>
    <w:r w:rsidRPr="00C504A4">
      <w:rPr>
        <w:sz w:val="16"/>
        <w:szCs w:val="16"/>
      </w:rPr>
      <w:t xml:space="preserve">Proactive </w:t>
    </w:r>
    <w:r w:rsidR="009D6D85">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3F" w:rsidRDefault="00BF1D3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3F" w:rsidRPr="00C504A4" w:rsidRDefault="009D6D85" w:rsidP="00C504A4">
    <w:pPr>
      <w:pStyle w:val="Header"/>
      <w:tabs>
        <w:tab w:val="right" w:pos="9072"/>
      </w:tabs>
      <w:jc w:val="right"/>
      <w:rPr>
        <w:sz w:val="16"/>
        <w:szCs w:val="16"/>
      </w:rPr>
    </w:pPr>
    <w:r w:rsidRPr="009D6D85">
      <w:fldChar w:fldCharType="begin"/>
    </w:r>
    <w:r w:rsidR="00BF1D3F">
      <w:instrText xml:space="preserve"> REF  DocumentTitle  \* MERGEFORMAT </w:instrText>
    </w:r>
    <w:r w:rsidRPr="009D6D85">
      <w:fldChar w:fldCharType="separate"/>
    </w:r>
  </w:p>
  <w:p w:rsidR="00BF1D3F" w:rsidRPr="00C504A4" w:rsidRDefault="00BF1D3F" w:rsidP="00C504A4">
    <w:pPr>
      <w:pStyle w:val="Header"/>
      <w:tabs>
        <w:tab w:val="right" w:pos="9072"/>
      </w:tabs>
      <w:jc w:val="right"/>
      <w:rPr>
        <w:sz w:val="16"/>
        <w:szCs w:val="16"/>
      </w:rPr>
    </w:pPr>
  </w:p>
  <w:p w:rsidR="00BF1D3F" w:rsidRPr="00BB677B" w:rsidRDefault="00BF1D3F">
    <w:pPr>
      <w:pStyle w:val="Header"/>
      <w:tabs>
        <w:tab w:val="clear" w:pos="8505"/>
        <w:tab w:val="right" w:pos="9072"/>
      </w:tabs>
      <w:jc w:val="right"/>
      <w:rPr>
        <w:sz w:val="16"/>
      </w:rPr>
    </w:pPr>
    <w:r w:rsidRPr="00C504A4">
      <w:rPr>
        <w:sz w:val="16"/>
        <w:szCs w:val="16"/>
      </w:rPr>
      <w:t xml:space="preserve">Proactive </w:t>
    </w:r>
    <w:r w:rsidR="009D6D85">
      <w:rPr>
        <w:sz w:val="16"/>
        <w:szCs w:val="16"/>
      </w:rPr>
      <w:fldChar w:fldCharType="end"/>
    </w:r>
    <w:r>
      <w:rPr>
        <w:sz w:val="16"/>
        <w:szCs w:val="16"/>
      </w:rPr>
      <w:t>Release of Data (Open Data) Policy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3F" w:rsidRDefault="00BF1D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B907ED8"/>
    <w:lvl w:ilvl="0">
      <w:start w:val="1"/>
      <w:numFmt w:val="decimal"/>
      <w:pStyle w:val="ListNumber"/>
      <w:lvlText w:val="%1."/>
      <w:lvlJc w:val="left"/>
      <w:pPr>
        <w:tabs>
          <w:tab w:val="num" w:pos="360"/>
        </w:tabs>
        <w:ind w:left="360" w:hanging="360"/>
      </w:pPr>
    </w:lvl>
  </w:abstractNum>
  <w:abstractNum w:abstractNumId="1">
    <w:nsid w:val="FFFFFF89"/>
    <w:multiLevelType w:val="singleLevel"/>
    <w:tmpl w:val="3774CC4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1E3E3E"/>
    <w:multiLevelType w:val="hybridMultilevel"/>
    <w:tmpl w:val="3EFA69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nsid w:val="0348011A"/>
    <w:multiLevelType w:val="hybridMultilevel"/>
    <w:tmpl w:val="08005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FD179C"/>
    <w:multiLevelType w:val="hybridMultilevel"/>
    <w:tmpl w:val="D96A4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254B8D"/>
    <w:multiLevelType w:val="multilevel"/>
    <w:tmpl w:val="449A3604"/>
    <w:lvl w:ilvl="0">
      <w:start w:val="1"/>
      <w:numFmt w:val="decimal"/>
      <w:lvlText w:val="%1"/>
      <w:lvlJc w:val="left"/>
      <w:pPr>
        <w:tabs>
          <w:tab w:val="num" w:pos="705"/>
        </w:tabs>
        <w:ind w:left="705" w:hanging="705"/>
      </w:pPr>
      <w:rPr>
        <w:rFonts w:hint="default"/>
      </w:rPr>
    </w:lvl>
    <w:lvl w:ilvl="1">
      <w:start w:val="1"/>
      <w:numFmt w:val="decimal"/>
      <w:pStyle w:val="Heading3"/>
      <w:lvlText w:val="%1.%2"/>
      <w:lvlJc w:val="left"/>
      <w:pPr>
        <w:tabs>
          <w:tab w:val="num" w:pos="680"/>
        </w:tabs>
        <w:ind w:left="680" w:hanging="6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0A2F6CAA"/>
    <w:multiLevelType w:val="hybridMultilevel"/>
    <w:tmpl w:val="11F2C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1F146B"/>
    <w:multiLevelType w:val="hybridMultilevel"/>
    <w:tmpl w:val="B922F7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E2A070E"/>
    <w:multiLevelType w:val="hybridMultilevel"/>
    <w:tmpl w:val="AD9CA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10A5703"/>
    <w:multiLevelType w:val="hybridMultilevel"/>
    <w:tmpl w:val="5C5CB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E33739"/>
    <w:multiLevelType w:val="hybridMultilevel"/>
    <w:tmpl w:val="A7BA1054"/>
    <w:lvl w:ilvl="0" w:tplc="578CF766">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2E6006"/>
    <w:multiLevelType w:val="hybridMultilevel"/>
    <w:tmpl w:val="C4FED850"/>
    <w:lvl w:ilvl="0" w:tplc="0C09000F">
      <w:start w:val="1"/>
      <w:numFmt w:val="decimal"/>
      <w:lvlText w:val="%1."/>
      <w:lvlJc w:val="left"/>
      <w:pPr>
        <w:tabs>
          <w:tab w:val="num" w:pos="720"/>
        </w:tabs>
        <w:ind w:left="720" w:hanging="360"/>
      </w:pPr>
      <w:rPr>
        <w:rFonts w:hint="default"/>
      </w:rPr>
    </w:lvl>
    <w:lvl w:ilvl="1" w:tplc="0C090019">
      <w:start w:val="1"/>
      <w:numFmt w:val="bullet"/>
      <w:pStyle w:val="Bullets"/>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B6C4653"/>
    <w:multiLevelType w:val="hybridMultilevel"/>
    <w:tmpl w:val="1F4E764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1CDA1E7B"/>
    <w:multiLevelType w:val="hybridMultilevel"/>
    <w:tmpl w:val="2B0AA144"/>
    <w:lvl w:ilvl="0" w:tplc="14D8F0E6">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1D113F38"/>
    <w:multiLevelType w:val="hybridMultilevel"/>
    <w:tmpl w:val="09FC7CE0"/>
    <w:lvl w:ilvl="0" w:tplc="578CF766">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1F1A4D36"/>
    <w:multiLevelType w:val="hybridMultilevel"/>
    <w:tmpl w:val="881E70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F286DA2"/>
    <w:multiLevelType w:val="hybridMultilevel"/>
    <w:tmpl w:val="B2608686"/>
    <w:lvl w:ilvl="0" w:tplc="30EA0BA4">
      <w:start w:val="1"/>
      <w:numFmt w:val="bullet"/>
      <w:pStyle w:val="ListBullet2"/>
      <w:lvlText w:val="-"/>
      <w:lvlJc w:val="left"/>
      <w:pPr>
        <w:tabs>
          <w:tab w:val="num" w:pos="643"/>
        </w:tabs>
        <w:ind w:left="643" w:hanging="360"/>
      </w:pPr>
      <w:rPr>
        <w:rFonts w:ascii="Verdana" w:hAnsi="Verdana" w:hint="default"/>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7">
    <w:nsid w:val="25404AC9"/>
    <w:multiLevelType w:val="hybridMultilevel"/>
    <w:tmpl w:val="AA6C8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57669B8"/>
    <w:multiLevelType w:val="hybridMultilevel"/>
    <w:tmpl w:val="02D2A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A01145"/>
    <w:multiLevelType w:val="hybridMultilevel"/>
    <w:tmpl w:val="60180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2441379"/>
    <w:multiLevelType w:val="hybridMultilevel"/>
    <w:tmpl w:val="689E1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5536778"/>
    <w:multiLevelType w:val="hybridMultilevel"/>
    <w:tmpl w:val="55FC0C24"/>
    <w:lvl w:ilvl="0" w:tplc="6CD80F7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55F449B"/>
    <w:multiLevelType w:val="hybridMultilevel"/>
    <w:tmpl w:val="512C6E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5FD78F3"/>
    <w:multiLevelType w:val="multilevel"/>
    <w:tmpl w:val="54222AA2"/>
    <w:lvl w:ilvl="0">
      <w:start w:val="1"/>
      <w:numFmt w:val="decimal"/>
      <w:pStyle w:val="Heading2"/>
      <w:lvlText w:val="%1."/>
      <w:lvlJc w:val="left"/>
      <w:pPr>
        <w:tabs>
          <w:tab w:val="num" w:pos="680"/>
        </w:tabs>
        <w:ind w:left="680" w:hanging="680"/>
      </w:pPr>
      <w:rPr>
        <w:rFonts w:hint="default"/>
      </w:rPr>
    </w:lvl>
    <w:lvl w:ilvl="1">
      <w:start w:val="1"/>
      <w:numFmt w:val="decimal"/>
      <w:lvlText w:val="%2%1."/>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4">
    <w:nsid w:val="3DF1024E"/>
    <w:multiLevelType w:val="hybridMultilevel"/>
    <w:tmpl w:val="47A4B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E85F77"/>
    <w:multiLevelType w:val="hybridMultilevel"/>
    <w:tmpl w:val="67C0B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887631"/>
    <w:multiLevelType w:val="hybridMultilevel"/>
    <w:tmpl w:val="1586F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131B59"/>
    <w:multiLevelType w:val="hybridMultilevel"/>
    <w:tmpl w:val="AFE46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3557302"/>
    <w:multiLevelType w:val="hybridMultilevel"/>
    <w:tmpl w:val="F5185372"/>
    <w:lvl w:ilvl="0" w:tplc="FFFFFFFF">
      <w:start w:val="1"/>
      <w:numFmt w:val="decimal"/>
      <w:lvlText w:val="%1."/>
      <w:lvlJc w:val="left"/>
      <w:pPr>
        <w:tabs>
          <w:tab w:val="num" w:pos="720"/>
        </w:tabs>
        <w:ind w:left="720" w:hanging="360"/>
      </w:pPr>
      <w:rPr>
        <w:rFonts w:hint="default"/>
      </w:rPr>
    </w:lvl>
    <w:lvl w:ilvl="1" w:tplc="4DE47162">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7236C28"/>
    <w:multiLevelType w:val="hybridMultilevel"/>
    <w:tmpl w:val="168C39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93559A9"/>
    <w:multiLevelType w:val="hybridMultilevel"/>
    <w:tmpl w:val="BEA8E3BC"/>
    <w:lvl w:ilvl="0" w:tplc="578CF7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FE85A42"/>
    <w:multiLevelType w:val="hybridMultilevel"/>
    <w:tmpl w:val="99EED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2B13445"/>
    <w:multiLevelType w:val="hybridMultilevel"/>
    <w:tmpl w:val="D7AEC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2E63C09"/>
    <w:multiLevelType w:val="hybridMultilevel"/>
    <w:tmpl w:val="CF2A3B60"/>
    <w:lvl w:ilvl="0" w:tplc="3F9CB60A">
      <w:start w:val="1"/>
      <w:numFmt w:val="bullet"/>
      <w:pStyle w:val="Asubparabullet"/>
      <w:lvlText w:val=""/>
      <w:lvlJc w:val="left"/>
      <w:pPr>
        <w:tabs>
          <w:tab w:val="num" w:pos="400"/>
        </w:tabs>
        <w:ind w:left="400" w:hanging="400"/>
      </w:pPr>
      <w:rPr>
        <w:rFonts w:ascii="Symbol" w:hAnsi="Symbol" w:hint="default"/>
        <w:sz w:val="20"/>
      </w:rPr>
    </w:lvl>
    <w:lvl w:ilvl="1" w:tplc="0C090019" w:tentative="1">
      <w:start w:val="1"/>
      <w:numFmt w:val="bullet"/>
      <w:lvlText w:val="o"/>
      <w:lvlJc w:val="left"/>
      <w:pPr>
        <w:tabs>
          <w:tab w:val="num" w:pos="-700"/>
        </w:tabs>
        <w:ind w:left="-700" w:hanging="360"/>
      </w:pPr>
      <w:rPr>
        <w:rFonts w:ascii="Courier New" w:hAnsi="Courier New" w:hint="default"/>
      </w:rPr>
    </w:lvl>
    <w:lvl w:ilvl="2" w:tplc="0C09001B" w:tentative="1">
      <w:start w:val="1"/>
      <w:numFmt w:val="bullet"/>
      <w:lvlText w:val=""/>
      <w:lvlJc w:val="left"/>
      <w:pPr>
        <w:tabs>
          <w:tab w:val="num" w:pos="20"/>
        </w:tabs>
        <w:ind w:left="20" w:hanging="360"/>
      </w:pPr>
      <w:rPr>
        <w:rFonts w:ascii="Wingdings" w:hAnsi="Wingdings" w:hint="default"/>
      </w:rPr>
    </w:lvl>
    <w:lvl w:ilvl="3" w:tplc="0C09000F" w:tentative="1">
      <w:start w:val="1"/>
      <w:numFmt w:val="bullet"/>
      <w:lvlText w:val=""/>
      <w:lvlJc w:val="left"/>
      <w:pPr>
        <w:tabs>
          <w:tab w:val="num" w:pos="740"/>
        </w:tabs>
        <w:ind w:left="740" w:hanging="360"/>
      </w:pPr>
      <w:rPr>
        <w:rFonts w:ascii="Symbol" w:hAnsi="Symbol" w:hint="default"/>
      </w:rPr>
    </w:lvl>
    <w:lvl w:ilvl="4" w:tplc="0C090019" w:tentative="1">
      <w:start w:val="1"/>
      <w:numFmt w:val="bullet"/>
      <w:lvlText w:val="o"/>
      <w:lvlJc w:val="left"/>
      <w:pPr>
        <w:tabs>
          <w:tab w:val="num" w:pos="1460"/>
        </w:tabs>
        <w:ind w:left="1460" w:hanging="360"/>
      </w:pPr>
      <w:rPr>
        <w:rFonts w:ascii="Courier New" w:hAnsi="Courier New" w:hint="default"/>
      </w:rPr>
    </w:lvl>
    <w:lvl w:ilvl="5" w:tplc="0C09001B" w:tentative="1">
      <w:start w:val="1"/>
      <w:numFmt w:val="bullet"/>
      <w:lvlText w:val=""/>
      <w:lvlJc w:val="left"/>
      <w:pPr>
        <w:tabs>
          <w:tab w:val="num" w:pos="2180"/>
        </w:tabs>
        <w:ind w:left="2180" w:hanging="360"/>
      </w:pPr>
      <w:rPr>
        <w:rFonts w:ascii="Wingdings" w:hAnsi="Wingdings" w:hint="default"/>
      </w:rPr>
    </w:lvl>
    <w:lvl w:ilvl="6" w:tplc="0C09000F" w:tentative="1">
      <w:start w:val="1"/>
      <w:numFmt w:val="bullet"/>
      <w:lvlText w:val=""/>
      <w:lvlJc w:val="left"/>
      <w:pPr>
        <w:tabs>
          <w:tab w:val="num" w:pos="2900"/>
        </w:tabs>
        <w:ind w:left="2900" w:hanging="360"/>
      </w:pPr>
      <w:rPr>
        <w:rFonts w:ascii="Symbol" w:hAnsi="Symbol" w:hint="default"/>
      </w:rPr>
    </w:lvl>
    <w:lvl w:ilvl="7" w:tplc="0C090019" w:tentative="1">
      <w:start w:val="1"/>
      <w:numFmt w:val="bullet"/>
      <w:lvlText w:val="o"/>
      <w:lvlJc w:val="left"/>
      <w:pPr>
        <w:tabs>
          <w:tab w:val="num" w:pos="3620"/>
        </w:tabs>
        <w:ind w:left="3620" w:hanging="360"/>
      </w:pPr>
      <w:rPr>
        <w:rFonts w:ascii="Courier New" w:hAnsi="Courier New" w:hint="default"/>
      </w:rPr>
    </w:lvl>
    <w:lvl w:ilvl="8" w:tplc="0C09001B" w:tentative="1">
      <w:start w:val="1"/>
      <w:numFmt w:val="bullet"/>
      <w:lvlText w:val=""/>
      <w:lvlJc w:val="left"/>
      <w:pPr>
        <w:tabs>
          <w:tab w:val="num" w:pos="4340"/>
        </w:tabs>
        <w:ind w:left="4340" w:hanging="360"/>
      </w:pPr>
      <w:rPr>
        <w:rFonts w:ascii="Wingdings" w:hAnsi="Wingdings" w:hint="default"/>
      </w:rPr>
    </w:lvl>
  </w:abstractNum>
  <w:abstractNum w:abstractNumId="34">
    <w:nsid w:val="74F7720A"/>
    <w:multiLevelType w:val="hybridMultilevel"/>
    <w:tmpl w:val="73C02C9C"/>
    <w:lvl w:ilvl="0" w:tplc="0C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num w:numId="1">
    <w:abstractNumId w:val="1"/>
  </w:num>
  <w:num w:numId="2">
    <w:abstractNumId w:val="16"/>
  </w:num>
  <w:num w:numId="3">
    <w:abstractNumId w:val="0"/>
  </w:num>
  <w:num w:numId="4">
    <w:abstractNumId w:val="5"/>
  </w:num>
  <w:num w:numId="5">
    <w:abstractNumId w:val="23"/>
  </w:num>
  <w:num w:numId="6">
    <w:abstractNumId w:val="11"/>
  </w:num>
  <w:num w:numId="7">
    <w:abstractNumId w:val="33"/>
  </w:num>
  <w:num w:numId="8">
    <w:abstractNumId w:val="7"/>
  </w:num>
  <w:num w:numId="9">
    <w:abstractNumId w:val="28"/>
  </w:num>
  <w:num w:numId="10">
    <w:abstractNumId w:val="15"/>
  </w:num>
  <w:num w:numId="11">
    <w:abstractNumId w:val="29"/>
  </w:num>
  <w:num w:numId="12">
    <w:abstractNumId w:val="31"/>
  </w:num>
  <w:num w:numId="13">
    <w:abstractNumId w:val="18"/>
  </w:num>
  <w:num w:numId="14">
    <w:abstractNumId w:val="2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7"/>
  </w:num>
  <w:num w:numId="22">
    <w:abstractNumId w:val="26"/>
  </w:num>
  <w:num w:numId="23">
    <w:abstractNumId w:val="4"/>
  </w:num>
  <w:num w:numId="24">
    <w:abstractNumId w:val="3"/>
  </w:num>
  <w:num w:numId="25">
    <w:abstractNumId w:val="30"/>
  </w:num>
  <w:num w:numId="26">
    <w:abstractNumId w:val="10"/>
  </w:num>
  <w:num w:numId="27">
    <w:abstractNumId w:val="34"/>
  </w:num>
  <w:num w:numId="28">
    <w:abstractNumId w:val="24"/>
  </w:num>
  <w:num w:numId="29">
    <w:abstractNumId w:val="20"/>
  </w:num>
  <w:num w:numId="30">
    <w:abstractNumId w:val="19"/>
  </w:num>
  <w:num w:numId="31">
    <w:abstractNumId w:val="6"/>
  </w:num>
  <w:num w:numId="32">
    <w:abstractNumId w:val="34"/>
  </w:num>
  <w:num w:numId="33">
    <w:abstractNumId w:val="22"/>
  </w:num>
  <w:num w:numId="34">
    <w:abstractNumId w:val="8"/>
  </w:num>
  <w:num w:numId="35">
    <w:abstractNumId w:val="14"/>
  </w:num>
  <w:num w:numId="36">
    <w:abstractNumId w:val="21"/>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rsids>
    <w:rsidRoot w:val="00D66CE8"/>
    <w:rsid w:val="000051A5"/>
    <w:rsid w:val="00015716"/>
    <w:rsid w:val="00022B34"/>
    <w:rsid w:val="00026DA6"/>
    <w:rsid w:val="00027BB8"/>
    <w:rsid w:val="000343D0"/>
    <w:rsid w:val="00034914"/>
    <w:rsid w:val="00036769"/>
    <w:rsid w:val="00036C39"/>
    <w:rsid w:val="000437F1"/>
    <w:rsid w:val="00044EAA"/>
    <w:rsid w:val="00051F72"/>
    <w:rsid w:val="00056D1F"/>
    <w:rsid w:val="0006007B"/>
    <w:rsid w:val="000638E3"/>
    <w:rsid w:val="000659E6"/>
    <w:rsid w:val="0007731F"/>
    <w:rsid w:val="00082075"/>
    <w:rsid w:val="000840A4"/>
    <w:rsid w:val="00086060"/>
    <w:rsid w:val="00087A4A"/>
    <w:rsid w:val="000901FA"/>
    <w:rsid w:val="00093E86"/>
    <w:rsid w:val="0009554E"/>
    <w:rsid w:val="00095D58"/>
    <w:rsid w:val="000976B8"/>
    <w:rsid w:val="000A04BA"/>
    <w:rsid w:val="000A12CC"/>
    <w:rsid w:val="000A1A4D"/>
    <w:rsid w:val="000A7B27"/>
    <w:rsid w:val="000A7B2E"/>
    <w:rsid w:val="000B22FF"/>
    <w:rsid w:val="000B4240"/>
    <w:rsid w:val="000B5801"/>
    <w:rsid w:val="000B63F7"/>
    <w:rsid w:val="000D6D7B"/>
    <w:rsid w:val="000E064C"/>
    <w:rsid w:val="000E06D2"/>
    <w:rsid w:val="000E4FED"/>
    <w:rsid w:val="000E52AE"/>
    <w:rsid w:val="000E6443"/>
    <w:rsid w:val="000F0D1C"/>
    <w:rsid w:val="000F42C2"/>
    <w:rsid w:val="0010290E"/>
    <w:rsid w:val="001154FD"/>
    <w:rsid w:val="00122AE8"/>
    <w:rsid w:val="00132095"/>
    <w:rsid w:val="00136665"/>
    <w:rsid w:val="0013691B"/>
    <w:rsid w:val="001408A1"/>
    <w:rsid w:val="00171C76"/>
    <w:rsid w:val="001733A4"/>
    <w:rsid w:val="00174FF2"/>
    <w:rsid w:val="00181B3E"/>
    <w:rsid w:val="00184CA0"/>
    <w:rsid w:val="00192853"/>
    <w:rsid w:val="00192DE5"/>
    <w:rsid w:val="001940D4"/>
    <w:rsid w:val="00196C51"/>
    <w:rsid w:val="001A3189"/>
    <w:rsid w:val="001B1ABF"/>
    <w:rsid w:val="001B5AA0"/>
    <w:rsid w:val="001C21FA"/>
    <w:rsid w:val="001E10FD"/>
    <w:rsid w:val="001F4ED0"/>
    <w:rsid w:val="001F783F"/>
    <w:rsid w:val="002055D4"/>
    <w:rsid w:val="0021067B"/>
    <w:rsid w:val="00213D8E"/>
    <w:rsid w:val="002169D6"/>
    <w:rsid w:val="00223355"/>
    <w:rsid w:val="00227468"/>
    <w:rsid w:val="002334A3"/>
    <w:rsid w:val="00233524"/>
    <w:rsid w:val="00236CB2"/>
    <w:rsid w:val="00243064"/>
    <w:rsid w:val="002451A1"/>
    <w:rsid w:val="00245EB4"/>
    <w:rsid w:val="0025595E"/>
    <w:rsid w:val="00263231"/>
    <w:rsid w:val="0026344F"/>
    <w:rsid w:val="00267468"/>
    <w:rsid w:val="002727BC"/>
    <w:rsid w:val="00284AF6"/>
    <w:rsid w:val="00285CF8"/>
    <w:rsid w:val="00286510"/>
    <w:rsid w:val="0028730D"/>
    <w:rsid w:val="00287868"/>
    <w:rsid w:val="002A5DE8"/>
    <w:rsid w:val="002B1BF8"/>
    <w:rsid w:val="002B639F"/>
    <w:rsid w:val="002C27D5"/>
    <w:rsid w:val="002C7D5A"/>
    <w:rsid w:val="002E3D25"/>
    <w:rsid w:val="0030184E"/>
    <w:rsid w:val="00313D55"/>
    <w:rsid w:val="00321566"/>
    <w:rsid w:val="00324D4E"/>
    <w:rsid w:val="00326E9C"/>
    <w:rsid w:val="00326E9E"/>
    <w:rsid w:val="003316F3"/>
    <w:rsid w:val="0034159F"/>
    <w:rsid w:val="00341C52"/>
    <w:rsid w:val="00345E3D"/>
    <w:rsid w:val="00354E72"/>
    <w:rsid w:val="0036214F"/>
    <w:rsid w:val="00364E51"/>
    <w:rsid w:val="00367D9C"/>
    <w:rsid w:val="00371252"/>
    <w:rsid w:val="00375AF9"/>
    <w:rsid w:val="00377296"/>
    <w:rsid w:val="00377788"/>
    <w:rsid w:val="00382E77"/>
    <w:rsid w:val="00383A07"/>
    <w:rsid w:val="00385F8A"/>
    <w:rsid w:val="00391D61"/>
    <w:rsid w:val="00391D90"/>
    <w:rsid w:val="00392054"/>
    <w:rsid w:val="003945F7"/>
    <w:rsid w:val="00396372"/>
    <w:rsid w:val="003A2677"/>
    <w:rsid w:val="003B3C10"/>
    <w:rsid w:val="003B4D63"/>
    <w:rsid w:val="003B576D"/>
    <w:rsid w:val="003B5DFD"/>
    <w:rsid w:val="003B6DA1"/>
    <w:rsid w:val="003C1CE5"/>
    <w:rsid w:val="003C2834"/>
    <w:rsid w:val="003D4496"/>
    <w:rsid w:val="003E5C26"/>
    <w:rsid w:val="003E60EC"/>
    <w:rsid w:val="003E7C48"/>
    <w:rsid w:val="003F3C9B"/>
    <w:rsid w:val="003F5790"/>
    <w:rsid w:val="003F73BA"/>
    <w:rsid w:val="004024ED"/>
    <w:rsid w:val="00411A6D"/>
    <w:rsid w:val="00414FA0"/>
    <w:rsid w:val="00417750"/>
    <w:rsid w:val="00421EC2"/>
    <w:rsid w:val="00423702"/>
    <w:rsid w:val="00423DFF"/>
    <w:rsid w:val="00424E9D"/>
    <w:rsid w:val="0043284A"/>
    <w:rsid w:val="00450BDB"/>
    <w:rsid w:val="00450C36"/>
    <w:rsid w:val="00450CBC"/>
    <w:rsid w:val="004553E5"/>
    <w:rsid w:val="00462D0F"/>
    <w:rsid w:val="00467F2E"/>
    <w:rsid w:val="004707FD"/>
    <w:rsid w:val="00473DAA"/>
    <w:rsid w:val="004800C7"/>
    <w:rsid w:val="00480CB1"/>
    <w:rsid w:val="004828EB"/>
    <w:rsid w:val="00486D51"/>
    <w:rsid w:val="00486EDE"/>
    <w:rsid w:val="004929FB"/>
    <w:rsid w:val="0049366E"/>
    <w:rsid w:val="004A62BD"/>
    <w:rsid w:val="004B221B"/>
    <w:rsid w:val="004B34CA"/>
    <w:rsid w:val="004B6C94"/>
    <w:rsid w:val="004C69C6"/>
    <w:rsid w:val="004E1B0C"/>
    <w:rsid w:val="004E22DC"/>
    <w:rsid w:val="004E4296"/>
    <w:rsid w:val="004E5D6A"/>
    <w:rsid w:val="004E7B15"/>
    <w:rsid w:val="004F111F"/>
    <w:rsid w:val="004F4530"/>
    <w:rsid w:val="004F549B"/>
    <w:rsid w:val="004F585B"/>
    <w:rsid w:val="004F6CDE"/>
    <w:rsid w:val="00505A36"/>
    <w:rsid w:val="00510E02"/>
    <w:rsid w:val="00513EDF"/>
    <w:rsid w:val="00522337"/>
    <w:rsid w:val="00522A40"/>
    <w:rsid w:val="005335B4"/>
    <w:rsid w:val="00534075"/>
    <w:rsid w:val="0053443D"/>
    <w:rsid w:val="00536C6F"/>
    <w:rsid w:val="0053710D"/>
    <w:rsid w:val="0054589F"/>
    <w:rsid w:val="00563C31"/>
    <w:rsid w:val="0057071E"/>
    <w:rsid w:val="00571E60"/>
    <w:rsid w:val="005909F5"/>
    <w:rsid w:val="0059109D"/>
    <w:rsid w:val="005942A6"/>
    <w:rsid w:val="005958A1"/>
    <w:rsid w:val="00595D13"/>
    <w:rsid w:val="005A0FA5"/>
    <w:rsid w:val="005A55B9"/>
    <w:rsid w:val="005A6331"/>
    <w:rsid w:val="005A7680"/>
    <w:rsid w:val="005B3BCD"/>
    <w:rsid w:val="005B6C37"/>
    <w:rsid w:val="005D4753"/>
    <w:rsid w:val="005D5BD0"/>
    <w:rsid w:val="005E7527"/>
    <w:rsid w:val="005E76B0"/>
    <w:rsid w:val="005F1499"/>
    <w:rsid w:val="005F789C"/>
    <w:rsid w:val="006046A6"/>
    <w:rsid w:val="00605B9D"/>
    <w:rsid w:val="00611175"/>
    <w:rsid w:val="00616A9C"/>
    <w:rsid w:val="00617635"/>
    <w:rsid w:val="00617BC8"/>
    <w:rsid w:val="006343FA"/>
    <w:rsid w:val="00634DC8"/>
    <w:rsid w:val="00640751"/>
    <w:rsid w:val="006532D3"/>
    <w:rsid w:val="00665A95"/>
    <w:rsid w:val="00665FB0"/>
    <w:rsid w:val="0066646A"/>
    <w:rsid w:val="0067130D"/>
    <w:rsid w:val="006724CE"/>
    <w:rsid w:val="00672E3A"/>
    <w:rsid w:val="006735F9"/>
    <w:rsid w:val="00677C4F"/>
    <w:rsid w:val="00682686"/>
    <w:rsid w:val="00683580"/>
    <w:rsid w:val="00691E6C"/>
    <w:rsid w:val="0069233D"/>
    <w:rsid w:val="00693133"/>
    <w:rsid w:val="006947E3"/>
    <w:rsid w:val="00696BCC"/>
    <w:rsid w:val="006A0012"/>
    <w:rsid w:val="006A1575"/>
    <w:rsid w:val="006A3A36"/>
    <w:rsid w:val="006B2278"/>
    <w:rsid w:val="006B5AD6"/>
    <w:rsid w:val="006B7B84"/>
    <w:rsid w:val="006C39B5"/>
    <w:rsid w:val="006C4D92"/>
    <w:rsid w:val="006C4FEE"/>
    <w:rsid w:val="006D01A2"/>
    <w:rsid w:val="006D1B9F"/>
    <w:rsid w:val="006D65CE"/>
    <w:rsid w:val="006D6872"/>
    <w:rsid w:val="006D6BA4"/>
    <w:rsid w:val="006E0D45"/>
    <w:rsid w:val="006E1B19"/>
    <w:rsid w:val="006E2D79"/>
    <w:rsid w:val="006E4AE1"/>
    <w:rsid w:val="007059A0"/>
    <w:rsid w:val="00715074"/>
    <w:rsid w:val="00716578"/>
    <w:rsid w:val="0071693B"/>
    <w:rsid w:val="00717E7C"/>
    <w:rsid w:val="00721EF4"/>
    <w:rsid w:val="00722D1A"/>
    <w:rsid w:val="007344F4"/>
    <w:rsid w:val="0073462D"/>
    <w:rsid w:val="007363AA"/>
    <w:rsid w:val="0074002A"/>
    <w:rsid w:val="00743EDC"/>
    <w:rsid w:val="00751952"/>
    <w:rsid w:val="00752F6B"/>
    <w:rsid w:val="007538F8"/>
    <w:rsid w:val="00753D2E"/>
    <w:rsid w:val="00756088"/>
    <w:rsid w:val="007571FB"/>
    <w:rsid w:val="00763467"/>
    <w:rsid w:val="00765C89"/>
    <w:rsid w:val="0078019F"/>
    <w:rsid w:val="00786591"/>
    <w:rsid w:val="007923CF"/>
    <w:rsid w:val="00792680"/>
    <w:rsid w:val="00794660"/>
    <w:rsid w:val="00794B20"/>
    <w:rsid w:val="007A2860"/>
    <w:rsid w:val="007B4C05"/>
    <w:rsid w:val="007D208E"/>
    <w:rsid w:val="007D2868"/>
    <w:rsid w:val="007D36CD"/>
    <w:rsid w:val="007E18E6"/>
    <w:rsid w:val="007E76AA"/>
    <w:rsid w:val="008041DC"/>
    <w:rsid w:val="0080548C"/>
    <w:rsid w:val="008133F2"/>
    <w:rsid w:val="00816399"/>
    <w:rsid w:val="00826D92"/>
    <w:rsid w:val="00827E18"/>
    <w:rsid w:val="00832B82"/>
    <w:rsid w:val="0084163D"/>
    <w:rsid w:val="008452D3"/>
    <w:rsid w:val="008473A9"/>
    <w:rsid w:val="0086694F"/>
    <w:rsid w:val="00870864"/>
    <w:rsid w:val="008915D1"/>
    <w:rsid w:val="00895D9E"/>
    <w:rsid w:val="0089790E"/>
    <w:rsid w:val="008A69A0"/>
    <w:rsid w:val="008A76B7"/>
    <w:rsid w:val="008B089D"/>
    <w:rsid w:val="008C17C2"/>
    <w:rsid w:val="008F2CA3"/>
    <w:rsid w:val="008F78A9"/>
    <w:rsid w:val="00903723"/>
    <w:rsid w:val="00907156"/>
    <w:rsid w:val="00907400"/>
    <w:rsid w:val="009105D3"/>
    <w:rsid w:val="00910996"/>
    <w:rsid w:val="00911FF4"/>
    <w:rsid w:val="00915E6E"/>
    <w:rsid w:val="0092601C"/>
    <w:rsid w:val="00926585"/>
    <w:rsid w:val="00927A06"/>
    <w:rsid w:val="00932AF6"/>
    <w:rsid w:val="0093552A"/>
    <w:rsid w:val="00942186"/>
    <w:rsid w:val="0094351C"/>
    <w:rsid w:val="00950554"/>
    <w:rsid w:val="009570FE"/>
    <w:rsid w:val="00964097"/>
    <w:rsid w:val="00970EF6"/>
    <w:rsid w:val="00970F39"/>
    <w:rsid w:val="009727A9"/>
    <w:rsid w:val="009737E9"/>
    <w:rsid w:val="0097595F"/>
    <w:rsid w:val="00976914"/>
    <w:rsid w:val="009848F0"/>
    <w:rsid w:val="00990E00"/>
    <w:rsid w:val="009A0ED6"/>
    <w:rsid w:val="009A4829"/>
    <w:rsid w:val="009A4EC7"/>
    <w:rsid w:val="009A7DB5"/>
    <w:rsid w:val="009B0C0A"/>
    <w:rsid w:val="009B132C"/>
    <w:rsid w:val="009B296B"/>
    <w:rsid w:val="009B2E22"/>
    <w:rsid w:val="009B49C9"/>
    <w:rsid w:val="009C14DD"/>
    <w:rsid w:val="009C17DD"/>
    <w:rsid w:val="009C304B"/>
    <w:rsid w:val="009C4B6E"/>
    <w:rsid w:val="009D32C2"/>
    <w:rsid w:val="009D57E1"/>
    <w:rsid w:val="009D6D85"/>
    <w:rsid w:val="009E3546"/>
    <w:rsid w:val="009F5C25"/>
    <w:rsid w:val="00A0191B"/>
    <w:rsid w:val="00A04E0D"/>
    <w:rsid w:val="00A12E84"/>
    <w:rsid w:val="00A1379A"/>
    <w:rsid w:val="00A14A59"/>
    <w:rsid w:val="00A218E8"/>
    <w:rsid w:val="00A25C10"/>
    <w:rsid w:val="00A32D0E"/>
    <w:rsid w:val="00A35978"/>
    <w:rsid w:val="00A44ECA"/>
    <w:rsid w:val="00A50176"/>
    <w:rsid w:val="00A514CB"/>
    <w:rsid w:val="00A51B8E"/>
    <w:rsid w:val="00A559FB"/>
    <w:rsid w:val="00A5719F"/>
    <w:rsid w:val="00A61846"/>
    <w:rsid w:val="00A640CE"/>
    <w:rsid w:val="00A6502B"/>
    <w:rsid w:val="00A659A3"/>
    <w:rsid w:val="00A65F6B"/>
    <w:rsid w:val="00A763EF"/>
    <w:rsid w:val="00A76B31"/>
    <w:rsid w:val="00A77127"/>
    <w:rsid w:val="00A85F7E"/>
    <w:rsid w:val="00A912C7"/>
    <w:rsid w:val="00A936CA"/>
    <w:rsid w:val="00A95827"/>
    <w:rsid w:val="00A96D6B"/>
    <w:rsid w:val="00AA3231"/>
    <w:rsid w:val="00AA403B"/>
    <w:rsid w:val="00AA4CF3"/>
    <w:rsid w:val="00AA53FC"/>
    <w:rsid w:val="00AC5C27"/>
    <w:rsid w:val="00AD7A66"/>
    <w:rsid w:val="00AE2AEF"/>
    <w:rsid w:val="00AE3468"/>
    <w:rsid w:val="00AE36EE"/>
    <w:rsid w:val="00AF2AE2"/>
    <w:rsid w:val="00AF519B"/>
    <w:rsid w:val="00AF569E"/>
    <w:rsid w:val="00B007EA"/>
    <w:rsid w:val="00B012F4"/>
    <w:rsid w:val="00B02C09"/>
    <w:rsid w:val="00B10FC3"/>
    <w:rsid w:val="00B14963"/>
    <w:rsid w:val="00B17A56"/>
    <w:rsid w:val="00B2030C"/>
    <w:rsid w:val="00B23327"/>
    <w:rsid w:val="00B2473E"/>
    <w:rsid w:val="00B30DD5"/>
    <w:rsid w:val="00B35237"/>
    <w:rsid w:val="00B3555A"/>
    <w:rsid w:val="00B374BE"/>
    <w:rsid w:val="00B41C28"/>
    <w:rsid w:val="00B41F4A"/>
    <w:rsid w:val="00B4727E"/>
    <w:rsid w:val="00B478DA"/>
    <w:rsid w:val="00B52183"/>
    <w:rsid w:val="00B522C2"/>
    <w:rsid w:val="00B63B15"/>
    <w:rsid w:val="00B666AA"/>
    <w:rsid w:val="00B70875"/>
    <w:rsid w:val="00B768A1"/>
    <w:rsid w:val="00B805C5"/>
    <w:rsid w:val="00B877A0"/>
    <w:rsid w:val="00B943D0"/>
    <w:rsid w:val="00B953F9"/>
    <w:rsid w:val="00BA5227"/>
    <w:rsid w:val="00BA5C2B"/>
    <w:rsid w:val="00BB23C1"/>
    <w:rsid w:val="00BB4C87"/>
    <w:rsid w:val="00BB6203"/>
    <w:rsid w:val="00BB677B"/>
    <w:rsid w:val="00BC6CC5"/>
    <w:rsid w:val="00BD0E58"/>
    <w:rsid w:val="00BD4501"/>
    <w:rsid w:val="00BD5AA2"/>
    <w:rsid w:val="00BE4944"/>
    <w:rsid w:val="00BE4CDF"/>
    <w:rsid w:val="00BF1D3F"/>
    <w:rsid w:val="00BF2E81"/>
    <w:rsid w:val="00C01D5E"/>
    <w:rsid w:val="00C02EA9"/>
    <w:rsid w:val="00C2151F"/>
    <w:rsid w:val="00C227CC"/>
    <w:rsid w:val="00C2414A"/>
    <w:rsid w:val="00C2647E"/>
    <w:rsid w:val="00C32E59"/>
    <w:rsid w:val="00C34994"/>
    <w:rsid w:val="00C36BE4"/>
    <w:rsid w:val="00C412A7"/>
    <w:rsid w:val="00C456FB"/>
    <w:rsid w:val="00C45927"/>
    <w:rsid w:val="00C47673"/>
    <w:rsid w:val="00C504A4"/>
    <w:rsid w:val="00C50878"/>
    <w:rsid w:val="00C7026B"/>
    <w:rsid w:val="00C702E0"/>
    <w:rsid w:val="00C80C0A"/>
    <w:rsid w:val="00C97D5C"/>
    <w:rsid w:val="00CA2332"/>
    <w:rsid w:val="00CA32FD"/>
    <w:rsid w:val="00CB1043"/>
    <w:rsid w:val="00CC2170"/>
    <w:rsid w:val="00CC5B82"/>
    <w:rsid w:val="00CD1ED5"/>
    <w:rsid w:val="00CE15E1"/>
    <w:rsid w:val="00CF422D"/>
    <w:rsid w:val="00D120D6"/>
    <w:rsid w:val="00D12979"/>
    <w:rsid w:val="00D222A1"/>
    <w:rsid w:val="00D27685"/>
    <w:rsid w:val="00D34B29"/>
    <w:rsid w:val="00D36A55"/>
    <w:rsid w:val="00D374E6"/>
    <w:rsid w:val="00D425B8"/>
    <w:rsid w:val="00D43029"/>
    <w:rsid w:val="00D44576"/>
    <w:rsid w:val="00D5097A"/>
    <w:rsid w:val="00D53185"/>
    <w:rsid w:val="00D54D9F"/>
    <w:rsid w:val="00D616A1"/>
    <w:rsid w:val="00D63351"/>
    <w:rsid w:val="00D63AD8"/>
    <w:rsid w:val="00D6503C"/>
    <w:rsid w:val="00D66CE8"/>
    <w:rsid w:val="00D7086E"/>
    <w:rsid w:val="00D734F8"/>
    <w:rsid w:val="00D7495A"/>
    <w:rsid w:val="00D81949"/>
    <w:rsid w:val="00D9600C"/>
    <w:rsid w:val="00DA1D7E"/>
    <w:rsid w:val="00DA7083"/>
    <w:rsid w:val="00DB0CFB"/>
    <w:rsid w:val="00DC4206"/>
    <w:rsid w:val="00DD12EF"/>
    <w:rsid w:val="00DD7C5D"/>
    <w:rsid w:val="00DE3839"/>
    <w:rsid w:val="00DE468E"/>
    <w:rsid w:val="00DF59ED"/>
    <w:rsid w:val="00DF5E15"/>
    <w:rsid w:val="00E0367A"/>
    <w:rsid w:val="00E042CA"/>
    <w:rsid w:val="00E114C8"/>
    <w:rsid w:val="00E13FC8"/>
    <w:rsid w:val="00E16B05"/>
    <w:rsid w:val="00E206A8"/>
    <w:rsid w:val="00E354D8"/>
    <w:rsid w:val="00E436E1"/>
    <w:rsid w:val="00E4446D"/>
    <w:rsid w:val="00E52DFA"/>
    <w:rsid w:val="00E55218"/>
    <w:rsid w:val="00E6658A"/>
    <w:rsid w:val="00E66EA8"/>
    <w:rsid w:val="00E723EA"/>
    <w:rsid w:val="00E75FA5"/>
    <w:rsid w:val="00E82D93"/>
    <w:rsid w:val="00E845D2"/>
    <w:rsid w:val="00E91847"/>
    <w:rsid w:val="00EB2208"/>
    <w:rsid w:val="00EC02D3"/>
    <w:rsid w:val="00EC3AE6"/>
    <w:rsid w:val="00EC5304"/>
    <w:rsid w:val="00EC7891"/>
    <w:rsid w:val="00ED01B7"/>
    <w:rsid w:val="00ED01E9"/>
    <w:rsid w:val="00ED2DB1"/>
    <w:rsid w:val="00ED3124"/>
    <w:rsid w:val="00ED49D7"/>
    <w:rsid w:val="00ED717E"/>
    <w:rsid w:val="00EE6F15"/>
    <w:rsid w:val="00EE7712"/>
    <w:rsid w:val="00EF1B19"/>
    <w:rsid w:val="00EF49C4"/>
    <w:rsid w:val="00F044E1"/>
    <w:rsid w:val="00F10885"/>
    <w:rsid w:val="00F13C89"/>
    <w:rsid w:val="00F14153"/>
    <w:rsid w:val="00F21FF4"/>
    <w:rsid w:val="00F23033"/>
    <w:rsid w:val="00F30D5E"/>
    <w:rsid w:val="00F33A1C"/>
    <w:rsid w:val="00F33BE2"/>
    <w:rsid w:val="00F42FFB"/>
    <w:rsid w:val="00F4361A"/>
    <w:rsid w:val="00F53558"/>
    <w:rsid w:val="00F56B77"/>
    <w:rsid w:val="00F6106D"/>
    <w:rsid w:val="00F80437"/>
    <w:rsid w:val="00F83078"/>
    <w:rsid w:val="00F8750D"/>
    <w:rsid w:val="00F90250"/>
    <w:rsid w:val="00F92FD2"/>
    <w:rsid w:val="00F93063"/>
    <w:rsid w:val="00F93E6A"/>
    <w:rsid w:val="00F93F8C"/>
    <w:rsid w:val="00F95108"/>
    <w:rsid w:val="00F95175"/>
    <w:rsid w:val="00F97FDE"/>
    <w:rsid w:val="00FA04F7"/>
    <w:rsid w:val="00FB6028"/>
    <w:rsid w:val="00FB6AEC"/>
    <w:rsid w:val="00FC1D0A"/>
    <w:rsid w:val="00FD3772"/>
    <w:rsid w:val="00FD384A"/>
    <w:rsid w:val="00FD5070"/>
    <w:rsid w:val="00FE24C9"/>
    <w:rsid w:val="00FF2C7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8473A9"/>
    <w:pPr>
      <w:suppressAutoHyphens/>
      <w:spacing w:after="200"/>
    </w:pPr>
    <w:rPr>
      <w:rFonts w:asciiTheme="minorHAnsi" w:hAnsiTheme="minorHAnsi"/>
    </w:rPr>
  </w:style>
  <w:style w:type="paragraph" w:styleId="Heading1">
    <w:name w:val="heading 1"/>
    <w:basedOn w:val="Normal"/>
    <w:qFormat/>
    <w:rsid w:val="00BF1D3F"/>
    <w:pPr>
      <w:keepNext/>
      <w:tabs>
        <w:tab w:val="right" w:pos="9070"/>
      </w:tabs>
      <w:spacing w:before="120" w:after="240"/>
      <w:outlineLvl w:val="0"/>
    </w:pPr>
    <w:rPr>
      <w:rFonts w:ascii="Arial" w:hAnsi="Arial"/>
      <w:b/>
      <w:sz w:val="44"/>
      <w:szCs w:val="40"/>
    </w:rPr>
  </w:style>
  <w:style w:type="paragraph" w:styleId="Heading2">
    <w:name w:val="heading 2"/>
    <w:basedOn w:val="Heading1"/>
    <w:next w:val="BodyText"/>
    <w:qFormat/>
    <w:rsid w:val="00BF1D3F"/>
    <w:pPr>
      <w:numPr>
        <w:numId w:val="5"/>
      </w:numPr>
      <w:spacing w:before="360"/>
      <w:outlineLvl w:val="1"/>
    </w:pPr>
    <w:rPr>
      <w:b w:val="0"/>
      <w:sz w:val="32"/>
      <w:szCs w:val="32"/>
    </w:rPr>
  </w:style>
  <w:style w:type="paragraph" w:styleId="Heading3">
    <w:name w:val="heading 3"/>
    <w:basedOn w:val="Heading2"/>
    <w:next w:val="BodyText"/>
    <w:qFormat/>
    <w:rsid w:val="00FD3772"/>
    <w:pPr>
      <w:numPr>
        <w:ilvl w:val="1"/>
        <w:numId w:val="4"/>
      </w:numPr>
      <w:outlineLvl w:val="2"/>
    </w:pPr>
    <w:rPr>
      <w:sz w:val="28"/>
      <w:szCs w:val="28"/>
    </w:rPr>
  </w:style>
  <w:style w:type="paragraph" w:styleId="Heading4">
    <w:name w:val="heading 4"/>
    <w:basedOn w:val="Heading3"/>
    <w:next w:val="BodyText"/>
    <w:qFormat/>
    <w:rsid w:val="00FD3772"/>
    <w:pPr>
      <w:numPr>
        <w:ilvl w:val="0"/>
        <w:numId w:val="0"/>
      </w:numPr>
      <w:outlineLvl w:val="3"/>
    </w:pPr>
    <w:rPr>
      <w:rFonts w:ascii="Verdana" w:hAnsi="Verdana"/>
      <w:b/>
      <w:sz w:val="22"/>
      <w:szCs w:val="20"/>
    </w:rPr>
  </w:style>
  <w:style w:type="paragraph" w:styleId="Heading5">
    <w:name w:val="heading 5"/>
    <w:basedOn w:val="Heading4"/>
    <w:next w:val="BodyText"/>
    <w:qFormat/>
    <w:rsid w:val="00FD3772"/>
    <w:pPr>
      <w:spacing w:line="240" w:lineRule="atLeast"/>
      <w:outlineLvl w:val="4"/>
    </w:pPr>
  </w:style>
  <w:style w:type="paragraph" w:styleId="Heading6">
    <w:name w:val="heading 6"/>
    <w:basedOn w:val="Heading4"/>
    <w:next w:val="BodyText"/>
    <w:qFormat/>
    <w:rsid w:val="00FD3772"/>
    <w:pPr>
      <w:outlineLvl w:val="5"/>
    </w:pPr>
    <w:rPr>
      <w:color w:val="000000"/>
    </w:rPr>
  </w:style>
  <w:style w:type="paragraph" w:styleId="Heading7">
    <w:name w:val="heading 7"/>
    <w:basedOn w:val="Heading4"/>
    <w:next w:val="BodyText"/>
    <w:qFormat/>
    <w:rsid w:val="00FD3772"/>
    <w:pPr>
      <w:outlineLvl w:val="6"/>
    </w:pPr>
  </w:style>
  <w:style w:type="paragraph" w:styleId="Heading8">
    <w:name w:val="heading 8"/>
    <w:basedOn w:val="Heading4"/>
    <w:next w:val="BodyText"/>
    <w:qFormat/>
    <w:rsid w:val="00FD3772"/>
    <w:pPr>
      <w:outlineLvl w:val="7"/>
    </w:pPr>
  </w:style>
  <w:style w:type="paragraph" w:styleId="Heading9">
    <w:name w:val="heading 9"/>
    <w:basedOn w:val="Heading4"/>
    <w:next w:val="BodyText"/>
    <w:qFormat/>
    <w:rsid w:val="00FD37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3772"/>
  </w:style>
  <w:style w:type="paragraph" w:styleId="TOC1">
    <w:name w:val="toc 1"/>
    <w:basedOn w:val="BodyText"/>
    <w:next w:val="BodyText"/>
    <w:uiPriority w:val="39"/>
    <w:rsid w:val="00FD3772"/>
    <w:pPr>
      <w:tabs>
        <w:tab w:val="left" w:pos="425"/>
        <w:tab w:val="right" w:leader="dot" w:pos="8505"/>
      </w:tabs>
      <w:spacing w:before="60" w:after="60"/>
    </w:pPr>
    <w:rPr>
      <w:sz w:val="22"/>
    </w:rPr>
  </w:style>
  <w:style w:type="paragraph" w:styleId="TOC2">
    <w:name w:val="toc 2"/>
    <w:basedOn w:val="TOC1"/>
    <w:next w:val="Normal"/>
    <w:uiPriority w:val="39"/>
    <w:rsid w:val="00FD3772"/>
    <w:pPr>
      <w:tabs>
        <w:tab w:val="clear" w:pos="425"/>
        <w:tab w:val="left" w:pos="567"/>
      </w:tabs>
      <w:spacing w:before="0"/>
      <w:ind w:left="181"/>
    </w:pPr>
    <w:rPr>
      <w:sz w:val="20"/>
    </w:rPr>
  </w:style>
  <w:style w:type="character" w:customStyle="1" w:styleId="IssueDate">
    <w:name w:val="IssueDate"/>
    <w:basedOn w:val="DefaultParagraphFont"/>
    <w:rsid w:val="00FD3772"/>
    <w:rPr>
      <w:dstrike w:val="0"/>
      <w:sz w:val="36"/>
      <w:vertAlign w:val="baseline"/>
    </w:rPr>
  </w:style>
  <w:style w:type="paragraph" w:customStyle="1" w:styleId="MetaHeading">
    <w:name w:val="Meta Heading"/>
    <w:basedOn w:val="Heading2"/>
    <w:next w:val="BodyText"/>
    <w:rsid w:val="00FD3772"/>
    <w:pPr>
      <w:numPr>
        <w:numId w:val="0"/>
      </w:numPr>
      <w:outlineLvl w:val="9"/>
    </w:pPr>
  </w:style>
  <w:style w:type="character" w:styleId="FollowedHyperlink">
    <w:name w:val="FollowedHyperlink"/>
    <w:basedOn w:val="DefaultParagraphFont"/>
    <w:rsid w:val="00FD3772"/>
    <w:rPr>
      <w:color w:val="800080"/>
      <w:u w:val="single"/>
    </w:rPr>
  </w:style>
  <w:style w:type="paragraph" w:styleId="ListBullet2">
    <w:name w:val="List Bullet 2"/>
    <w:basedOn w:val="Normal"/>
    <w:rsid w:val="00FD3772"/>
    <w:pPr>
      <w:numPr>
        <w:numId w:val="2"/>
      </w:numPr>
      <w:tabs>
        <w:tab w:val="clear" w:pos="643"/>
        <w:tab w:val="num" w:pos="567"/>
      </w:tabs>
      <w:spacing w:after="120"/>
      <w:ind w:left="567" w:hanging="210"/>
    </w:pPr>
  </w:style>
  <w:style w:type="paragraph" w:customStyle="1" w:styleId="Note">
    <w:name w:val="Note"/>
    <w:basedOn w:val="BodyText"/>
    <w:next w:val="BodyText"/>
    <w:rsid w:val="00FD3772"/>
    <w:pPr>
      <w:pBdr>
        <w:top w:val="dotted" w:sz="4" w:space="4" w:color="auto"/>
        <w:left w:val="dotted" w:sz="4" w:space="2" w:color="auto"/>
        <w:bottom w:val="dotted" w:sz="4" w:space="4" w:color="auto"/>
        <w:right w:val="dotted" w:sz="4" w:space="2" w:color="auto"/>
      </w:pBdr>
      <w:suppressAutoHyphens w:val="0"/>
    </w:pPr>
    <w:rPr>
      <w:rFonts w:ascii="Tahoma" w:hAnsi="Tahoma"/>
      <w:lang w:eastAsia="en-US"/>
    </w:rPr>
  </w:style>
  <w:style w:type="paragraph" w:styleId="TOC3">
    <w:name w:val="toc 3"/>
    <w:basedOn w:val="TOC2"/>
    <w:next w:val="Normal"/>
    <w:uiPriority w:val="39"/>
    <w:rsid w:val="00FD3772"/>
    <w:pPr>
      <w:tabs>
        <w:tab w:val="clear" w:pos="567"/>
        <w:tab w:val="left" w:pos="709"/>
        <w:tab w:val="left" w:pos="1200"/>
      </w:tabs>
      <w:ind w:left="454" w:firstLine="113"/>
    </w:pPr>
    <w:rPr>
      <w:noProof/>
    </w:rPr>
  </w:style>
  <w:style w:type="character" w:styleId="Hyperlink">
    <w:name w:val="Hyperlink"/>
    <w:basedOn w:val="DefaultParagraphFont"/>
    <w:rsid w:val="00FD3772"/>
    <w:rPr>
      <w:color w:val="0000FF"/>
      <w:u w:val="single"/>
    </w:rPr>
  </w:style>
  <w:style w:type="paragraph" w:styleId="ListBullet">
    <w:name w:val="List Bullet"/>
    <w:basedOn w:val="BodyText"/>
    <w:rsid w:val="00FD3772"/>
    <w:pPr>
      <w:numPr>
        <w:numId w:val="1"/>
      </w:numPr>
      <w:suppressAutoHyphens w:val="0"/>
      <w:spacing w:after="120"/>
    </w:pPr>
    <w:rPr>
      <w:lang w:eastAsia="en-US"/>
    </w:rPr>
  </w:style>
  <w:style w:type="paragraph" w:styleId="ListNumber">
    <w:name w:val="List Number"/>
    <w:basedOn w:val="Normal"/>
    <w:rsid w:val="00FD3772"/>
    <w:pPr>
      <w:numPr>
        <w:numId w:val="3"/>
      </w:numPr>
      <w:suppressAutoHyphens w:val="0"/>
      <w:spacing w:after="120"/>
      <w:ind w:left="357" w:hanging="357"/>
    </w:pPr>
    <w:rPr>
      <w:lang w:eastAsia="en-US"/>
    </w:rPr>
  </w:style>
  <w:style w:type="paragraph" w:customStyle="1" w:styleId="BodyNumbered">
    <w:name w:val="Body Numbered"/>
    <w:basedOn w:val="BodyText"/>
    <w:rsid w:val="00FD3772"/>
    <w:pPr>
      <w:tabs>
        <w:tab w:val="right" w:pos="-284"/>
        <w:tab w:val="left" w:pos="0"/>
      </w:tabs>
      <w:spacing w:after="120"/>
      <w:ind w:left="-567"/>
    </w:pPr>
  </w:style>
  <w:style w:type="paragraph" w:customStyle="1" w:styleId="BodyNumberedend">
    <w:name w:val="Body Numbered end"/>
    <w:basedOn w:val="BodyNumbered"/>
    <w:next w:val="BodyText"/>
    <w:rsid w:val="00FD3772"/>
    <w:pPr>
      <w:spacing w:after="240"/>
    </w:pPr>
  </w:style>
  <w:style w:type="paragraph" w:customStyle="1" w:styleId="Bodytextclose">
    <w:name w:val="Body text close"/>
    <w:basedOn w:val="BodyText"/>
    <w:next w:val="Normal"/>
    <w:rsid w:val="00FD3772"/>
    <w:pPr>
      <w:keepNext/>
      <w:spacing w:after="120"/>
    </w:pPr>
  </w:style>
  <w:style w:type="paragraph" w:styleId="BodyTextIndent">
    <w:name w:val="Body Text Indent"/>
    <w:basedOn w:val="BodyText"/>
    <w:rsid w:val="00FD3772"/>
    <w:pPr>
      <w:suppressAutoHyphens w:val="0"/>
      <w:spacing w:after="120"/>
      <w:ind w:left="357"/>
    </w:pPr>
    <w:rPr>
      <w:lang w:eastAsia="en-US"/>
    </w:rPr>
  </w:style>
  <w:style w:type="paragraph" w:styleId="Caption">
    <w:name w:val="caption"/>
    <w:basedOn w:val="Normal"/>
    <w:next w:val="Normal"/>
    <w:qFormat/>
    <w:rsid w:val="00FD3772"/>
    <w:pPr>
      <w:spacing w:before="120" w:after="120"/>
    </w:pPr>
    <w:rPr>
      <w:b/>
      <w:bCs/>
    </w:rPr>
  </w:style>
  <w:style w:type="paragraph" w:customStyle="1" w:styleId="Documenttitle">
    <w:name w:val="Document title"/>
    <w:basedOn w:val="BodyText"/>
    <w:next w:val="BodyText"/>
    <w:rsid w:val="00FD3772"/>
    <w:pPr>
      <w:spacing w:before="2400" w:after="360"/>
      <w:jc w:val="center"/>
    </w:pPr>
    <w:rPr>
      <w:rFonts w:ascii="Tahoma" w:hAnsi="Tahoma"/>
      <w:b/>
      <w:sz w:val="56"/>
      <w:szCs w:val="52"/>
    </w:rPr>
  </w:style>
  <w:style w:type="paragraph" w:customStyle="1" w:styleId="DocumentVersionnumber">
    <w:name w:val="Document Version number"/>
    <w:basedOn w:val="Documenttitle"/>
    <w:next w:val="Normal"/>
    <w:rsid w:val="00FD3772"/>
    <w:pPr>
      <w:spacing w:before="1800" w:after="0"/>
    </w:pPr>
    <w:rPr>
      <w:b w:val="0"/>
      <w:sz w:val="36"/>
      <w:szCs w:val="36"/>
    </w:rPr>
  </w:style>
  <w:style w:type="paragraph" w:styleId="Footer">
    <w:name w:val="footer"/>
    <w:basedOn w:val="BodyText"/>
    <w:rsid w:val="00FD3772"/>
    <w:pPr>
      <w:tabs>
        <w:tab w:val="center" w:pos="4253"/>
        <w:tab w:val="right" w:pos="8505"/>
      </w:tabs>
      <w:spacing w:after="60"/>
    </w:pPr>
    <w:rPr>
      <w:sz w:val="16"/>
      <w:szCs w:val="16"/>
    </w:rPr>
  </w:style>
  <w:style w:type="paragraph" w:styleId="Header">
    <w:name w:val="header"/>
    <w:basedOn w:val="BodyText"/>
    <w:rsid w:val="00FD3772"/>
    <w:pPr>
      <w:tabs>
        <w:tab w:val="right" w:pos="8505"/>
      </w:tabs>
      <w:spacing w:after="120"/>
    </w:pPr>
    <w:rPr>
      <w:sz w:val="18"/>
      <w:szCs w:val="18"/>
    </w:rPr>
  </w:style>
  <w:style w:type="paragraph" w:styleId="Index1">
    <w:name w:val="index 1"/>
    <w:basedOn w:val="Normal"/>
    <w:next w:val="Normal"/>
    <w:semiHidden/>
    <w:rsid w:val="00FD3772"/>
    <w:pPr>
      <w:ind w:left="200" w:hanging="200"/>
    </w:pPr>
  </w:style>
  <w:style w:type="paragraph" w:styleId="Index2">
    <w:name w:val="index 2"/>
    <w:basedOn w:val="Normal"/>
    <w:next w:val="Normal"/>
    <w:semiHidden/>
    <w:rsid w:val="00FD3772"/>
    <w:pPr>
      <w:ind w:left="400" w:hanging="200"/>
    </w:pPr>
  </w:style>
  <w:style w:type="paragraph" w:styleId="Index3">
    <w:name w:val="index 3"/>
    <w:basedOn w:val="Normal"/>
    <w:next w:val="Normal"/>
    <w:semiHidden/>
    <w:rsid w:val="00FD3772"/>
    <w:pPr>
      <w:ind w:left="600" w:hanging="200"/>
    </w:pPr>
  </w:style>
  <w:style w:type="paragraph" w:styleId="Index4">
    <w:name w:val="index 4"/>
    <w:basedOn w:val="Normal"/>
    <w:next w:val="Normal"/>
    <w:semiHidden/>
    <w:rsid w:val="00FD3772"/>
    <w:pPr>
      <w:ind w:left="800" w:hanging="200"/>
    </w:pPr>
  </w:style>
  <w:style w:type="paragraph" w:styleId="Index5">
    <w:name w:val="index 5"/>
    <w:basedOn w:val="Normal"/>
    <w:next w:val="Normal"/>
    <w:semiHidden/>
    <w:rsid w:val="00FD3772"/>
    <w:pPr>
      <w:ind w:left="1000" w:hanging="200"/>
    </w:pPr>
  </w:style>
  <w:style w:type="paragraph" w:styleId="Index6">
    <w:name w:val="index 6"/>
    <w:basedOn w:val="Normal"/>
    <w:next w:val="Normal"/>
    <w:semiHidden/>
    <w:rsid w:val="00FD3772"/>
    <w:pPr>
      <w:ind w:left="1200" w:hanging="200"/>
    </w:pPr>
  </w:style>
  <w:style w:type="paragraph" w:styleId="Index7">
    <w:name w:val="index 7"/>
    <w:basedOn w:val="Normal"/>
    <w:next w:val="Normal"/>
    <w:semiHidden/>
    <w:rsid w:val="00FD3772"/>
    <w:pPr>
      <w:ind w:left="1400" w:hanging="200"/>
    </w:pPr>
  </w:style>
  <w:style w:type="paragraph" w:styleId="Index8">
    <w:name w:val="index 8"/>
    <w:basedOn w:val="Normal"/>
    <w:next w:val="Normal"/>
    <w:semiHidden/>
    <w:rsid w:val="00FD3772"/>
    <w:pPr>
      <w:ind w:left="1600" w:hanging="200"/>
    </w:pPr>
  </w:style>
  <w:style w:type="paragraph" w:styleId="Index9">
    <w:name w:val="index 9"/>
    <w:basedOn w:val="Normal"/>
    <w:next w:val="Normal"/>
    <w:semiHidden/>
    <w:rsid w:val="00FD3772"/>
    <w:pPr>
      <w:ind w:left="1800" w:hanging="200"/>
    </w:pPr>
  </w:style>
  <w:style w:type="paragraph" w:styleId="IndexHeading">
    <w:name w:val="index heading"/>
    <w:basedOn w:val="Normal"/>
    <w:next w:val="Index1"/>
    <w:semiHidden/>
    <w:rsid w:val="00FD3772"/>
    <w:rPr>
      <w:rFonts w:ascii="Arial" w:hAnsi="Arial" w:cs="Arial"/>
      <w:b/>
      <w:bCs/>
    </w:rPr>
  </w:style>
  <w:style w:type="paragraph" w:customStyle="1" w:styleId="InTACT">
    <w:name w:val="InTACT"/>
    <w:basedOn w:val="BodyText"/>
    <w:next w:val="BodyText"/>
    <w:rsid w:val="00FD3772"/>
    <w:pPr>
      <w:keepNext/>
      <w:spacing w:after="180"/>
      <w:jc w:val="center"/>
    </w:pPr>
    <w:rPr>
      <w:rFonts w:ascii="Tahoma" w:hAnsi="Tahoma"/>
      <w:b/>
      <w:sz w:val="32"/>
      <w:szCs w:val="32"/>
    </w:rPr>
  </w:style>
  <w:style w:type="paragraph" w:customStyle="1" w:styleId="IntactQMS">
    <w:name w:val="Intact QMS"/>
    <w:basedOn w:val="InTACT"/>
    <w:next w:val="BodyText"/>
    <w:rsid w:val="00FD3772"/>
    <w:pPr>
      <w:keepNext w:val="0"/>
      <w:spacing w:before="240" w:after="0"/>
    </w:pPr>
    <w:rPr>
      <w:sz w:val="40"/>
      <w:szCs w:val="40"/>
    </w:rPr>
  </w:style>
  <w:style w:type="paragraph" w:customStyle="1" w:styleId="intactlogo">
    <w:name w:val="intactlogo"/>
    <w:basedOn w:val="BodyText"/>
    <w:rsid w:val="00FD3772"/>
    <w:pPr>
      <w:suppressAutoHyphens w:val="0"/>
      <w:spacing w:after="120"/>
      <w:jc w:val="center"/>
    </w:pPr>
    <w:rPr>
      <w:rFonts w:ascii="Arial" w:hAnsi="Arial"/>
      <w:b/>
      <w:color w:val="808080"/>
      <w:sz w:val="28"/>
      <w:lang w:eastAsia="en-US"/>
    </w:rPr>
  </w:style>
  <w:style w:type="paragraph" w:styleId="PlainText">
    <w:name w:val="Plain Text"/>
    <w:basedOn w:val="Normal"/>
    <w:link w:val="PlainTextChar"/>
    <w:rsid w:val="00FD3772"/>
    <w:pPr>
      <w:suppressAutoHyphens w:val="0"/>
      <w:spacing w:after="0"/>
    </w:pPr>
    <w:rPr>
      <w:rFonts w:ascii="Courier New" w:hAnsi="Courier New" w:cs="Courier New"/>
      <w:lang w:eastAsia="en-US"/>
    </w:rPr>
  </w:style>
  <w:style w:type="character" w:customStyle="1" w:styleId="PlainTextChar">
    <w:name w:val="Plain Text Char"/>
    <w:basedOn w:val="DefaultParagraphFont"/>
    <w:link w:val="PlainText"/>
    <w:rsid w:val="00FD3772"/>
    <w:rPr>
      <w:rFonts w:ascii="Courier New" w:hAnsi="Courier New" w:cs="Courier New"/>
      <w:lang w:val="en-AU" w:eastAsia="en-US" w:bidi="ar-SA"/>
    </w:rPr>
  </w:style>
  <w:style w:type="paragraph" w:customStyle="1" w:styleId="Spacer">
    <w:name w:val="Spacer"/>
    <w:basedOn w:val="Normal"/>
    <w:rsid w:val="00FD3772"/>
    <w:pPr>
      <w:keepNext/>
      <w:spacing w:after="0" w:line="80" w:lineRule="atLeast"/>
    </w:pPr>
    <w:rPr>
      <w:sz w:val="8"/>
      <w:szCs w:val="8"/>
    </w:rPr>
  </w:style>
  <w:style w:type="paragraph" w:customStyle="1" w:styleId="Tabletext">
    <w:name w:val="Table text"/>
    <w:basedOn w:val="Normal"/>
    <w:rsid w:val="00FD3772"/>
    <w:pPr>
      <w:spacing w:after="120"/>
    </w:pPr>
    <w:rPr>
      <w:sz w:val="18"/>
      <w:szCs w:val="18"/>
    </w:rPr>
  </w:style>
  <w:style w:type="paragraph" w:customStyle="1" w:styleId="TableHeading">
    <w:name w:val="Table Heading"/>
    <w:basedOn w:val="Tabletext"/>
    <w:rsid w:val="00FD3772"/>
    <w:pPr>
      <w:keepNext/>
    </w:pPr>
    <w:rPr>
      <w:b/>
      <w:sz w:val="20"/>
    </w:rPr>
  </w:style>
  <w:style w:type="paragraph" w:styleId="TOC4">
    <w:name w:val="toc 4"/>
    <w:basedOn w:val="Normal"/>
    <w:next w:val="Normal"/>
    <w:semiHidden/>
    <w:rsid w:val="00FD3772"/>
    <w:pPr>
      <w:ind w:left="600"/>
    </w:pPr>
  </w:style>
  <w:style w:type="paragraph" w:styleId="TOC5">
    <w:name w:val="toc 5"/>
    <w:basedOn w:val="Normal"/>
    <w:next w:val="Normal"/>
    <w:semiHidden/>
    <w:rsid w:val="00FD3772"/>
    <w:pPr>
      <w:ind w:left="800"/>
    </w:pPr>
  </w:style>
  <w:style w:type="paragraph" w:styleId="TOC6">
    <w:name w:val="toc 6"/>
    <w:basedOn w:val="Normal"/>
    <w:next w:val="Normal"/>
    <w:semiHidden/>
    <w:rsid w:val="00FD3772"/>
    <w:pPr>
      <w:ind w:left="1000"/>
    </w:pPr>
  </w:style>
  <w:style w:type="paragraph" w:styleId="TOC7">
    <w:name w:val="toc 7"/>
    <w:basedOn w:val="Normal"/>
    <w:next w:val="Normal"/>
    <w:semiHidden/>
    <w:rsid w:val="00FD3772"/>
    <w:pPr>
      <w:ind w:left="1200"/>
    </w:pPr>
  </w:style>
  <w:style w:type="paragraph" w:styleId="TOC8">
    <w:name w:val="toc 8"/>
    <w:basedOn w:val="Normal"/>
    <w:next w:val="Normal"/>
    <w:semiHidden/>
    <w:rsid w:val="00FD3772"/>
    <w:pPr>
      <w:ind w:left="1400"/>
    </w:pPr>
  </w:style>
  <w:style w:type="paragraph" w:styleId="TOC9">
    <w:name w:val="toc 9"/>
    <w:basedOn w:val="Normal"/>
    <w:next w:val="Normal"/>
    <w:semiHidden/>
    <w:rsid w:val="00FD3772"/>
    <w:pPr>
      <w:ind w:left="1600"/>
    </w:pPr>
  </w:style>
  <w:style w:type="paragraph" w:customStyle="1" w:styleId="Procnumber">
    <w:name w:val="Proc number"/>
    <w:basedOn w:val="Documenttitle"/>
    <w:rsid w:val="00FD3772"/>
    <w:pPr>
      <w:spacing w:before="1800" w:after="0"/>
    </w:pPr>
    <w:rPr>
      <w:b w:val="0"/>
      <w:bCs/>
      <w:spacing w:val="24"/>
      <w:sz w:val="32"/>
    </w:rPr>
  </w:style>
  <w:style w:type="paragraph" w:styleId="BodyText2">
    <w:name w:val="Body Text 2"/>
    <w:basedOn w:val="Normal"/>
    <w:rsid w:val="00FD3772"/>
    <w:rPr>
      <w:i/>
      <w:iCs/>
    </w:rPr>
  </w:style>
  <w:style w:type="paragraph" w:styleId="BalloonText">
    <w:name w:val="Balloon Text"/>
    <w:basedOn w:val="Normal"/>
    <w:semiHidden/>
    <w:rsid w:val="00FD3772"/>
    <w:rPr>
      <w:rFonts w:ascii="Tahoma" w:hAnsi="Tahoma" w:cs="Tahoma"/>
      <w:sz w:val="16"/>
      <w:szCs w:val="16"/>
    </w:rPr>
  </w:style>
  <w:style w:type="table" w:styleId="TableGrid">
    <w:name w:val="Table Grid"/>
    <w:basedOn w:val="TableNormal"/>
    <w:rsid w:val="00FD3772"/>
    <w:pPr>
      <w:suppressAutoHyphens/>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mplateTip">
    <w:name w:val="Template Tip"/>
    <w:basedOn w:val="DefaultParagraphFont"/>
    <w:rsid w:val="00FD3772"/>
    <w:rPr>
      <w:rFonts w:ascii="Verdana" w:hAnsi="Verdana"/>
      <w:sz w:val="20"/>
      <w:bdr w:val="none" w:sz="0" w:space="0" w:color="auto"/>
      <w:shd w:val="clear" w:color="auto" w:fill="FFFF99"/>
    </w:rPr>
  </w:style>
  <w:style w:type="paragraph" w:customStyle="1" w:styleId="Approval">
    <w:name w:val="Approval"/>
    <w:basedOn w:val="Normal"/>
    <w:rsid w:val="00FD3772"/>
    <w:pPr>
      <w:spacing w:before="120" w:after="120"/>
      <w:jc w:val="center"/>
    </w:pPr>
    <w:rPr>
      <w:rFonts w:ascii="Tahoma" w:hAnsi="Tahoma"/>
      <w:sz w:val="28"/>
    </w:rPr>
  </w:style>
  <w:style w:type="paragraph" w:styleId="BodyText3">
    <w:name w:val="Body Text 3"/>
    <w:basedOn w:val="Normal"/>
    <w:link w:val="BodyText3Char"/>
    <w:rsid w:val="0006007B"/>
    <w:pPr>
      <w:spacing w:after="120"/>
    </w:pPr>
    <w:rPr>
      <w:sz w:val="16"/>
      <w:szCs w:val="16"/>
    </w:rPr>
  </w:style>
  <w:style w:type="character" w:customStyle="1" w:styleId="BodyText3Char">
    <w:name w:val="Body Text 3 Char"/>
    <w:basedOn w:val="DefaultParagraphFont"/>
    <w:link w:val="BodyText3"/>
    <w:rsid w:val="0006007B"/>
    <w:rPr>
      <w:rFonts w:ascii="Verdana" w:hAnsi="Verdana"/>
      <w:sz w:val="16"/>
      <w:szCs w:val="16"/>
    </w:rPr>
  </w:style>
  <w:style w:type="paragraph" w:customStyle="1" w:styleId="Asubparabullet">
    <w:name w:val="A subpara bullet"/>
    <w:basedOn w:val="Normal"/>
    <w:rsid w:val="0006007B"/>
    <w:pPr>
      <w:numPr>
        <w:numId w:val="7"/>
      </w:numPr>
      <w:suppressAutoHyphens w:val="0"/>
      <w:spacing w:after="0"/>
    </w:pPr>
    <w:rPr>
      <w:rFonts w:ascii="Times New Roman" w:hAnsi="Times New Roman"/>
      <w:sz w:val="24"/>
      <w:szCs w:val="24"/>
      <w:lang w:eastAsia="en-US"/>
    </w:rPr>
  </w:style>
  <w:style w:type="paragraph" w:styleId="CommentText">
    <w:name w:val="annotation text"/>
    <w:basedOn w:val="Normal"/>
    <w:link w:val="CommentTextChar"/>
    <w:rsid w:val="0006007B"/>
    <w:pPr>
      <w:suppressAutoHyphens w:val="0"/>
      <w:spacing w:after="0"/>
    </w:pPr>
    <w:rPr>
      <w:rFonts w:ascii="Times New Roman" w:hAnsi="Times New Roman"/>
      <w:lang w:eastAsia="en-US"/>
    </w:rPr>
  </w:style>
  <w:style w:type="character" w:customStyle="1" w:styleId="CommentTextChar">
    <w:name w:val="Comment Text Char"/>
    <w:basedOn w:val="DefaultParagraphFont"/>
    <w:link w:val="CommentText"/>
    <w:rsid w:val="0006007B"/>
    <w:rPr>
      <w:lang w:eastAsia="en-US"/>
    </w:rPr>
  </w:style>
  <w:style w:type="paragraph" w:customStyle="1" w:styleId="Bullets">
    <w:name w:val="Bullets"/>
    <w:basedOn w:val="Normal"/>
    <w:rsid w:val="0006007B"/>
    <w:pPr>
      <w:numPr>
        <w:ilvl w:val="1"/>
        <w:numId w:val="6"/>
      </w:numPr>
    </w:pPr>
  </w:style>
  <w:style w:type="character" w:styleId="Emphasis">
    <w:name w:val="Emphasis"/>
    <w:basedOn w:val="DefaultParagraphFont"/>
    <w:qFormat/>
    <w:rsid w:val="0006007B"/>
    <w:rPr>
      <w:i/>
      <w:iCs/>
    </w:rPr>
  </w:style>
  <w:style w:type="character" w:customStyle="1" w:styleId="BodyTextChar">
    <w:name w:val="Body Text Char"/>
    <w:basedOn w:val="DefaultParagraphFont"/>
    <w:link w:val="BodyText"/>
    <w:rsid w:val="0006007B"/>
    <w:rPr>
      <w:rFonts w:ascii="Verdana" w:hAnsi="Verdana"/>
    </w:rPr>
  </w:style>
  <w:style w:type="paragraph" w:styleId="ListParagraph">
    <w:name w:val="List Paragraph"/>
    <w:basedOn w:val="ListBullet"/>
    <w:next w:val="ListBullet"/>
    <w:autoRedefine/>
    <w:uiPriority w:val="34"/>
    <w:qFormat/>
    <w:rsid w:val="006724CE"/>
    <w:pPr>
      <w:spacing w:before="240" w:after="240"/>
      <w:ind w:left="714" w:hanging="357"/>
      <w:contextualSpacing/>
    </w:pPr>
    <w:rPr>
      <w:rFonts w:cs="Helvetica"/>
    </w:rPr>
  </w:style>
  <w:style w:type="paragraph" w:styleId="EndnoteText">
    <w:name w:val="endnote text"/>
    <w:basedOn w:val="Normal"/>
    <w:link w:val="EndnoteTextChar"/>
    <w:rsid w:val="009D57E1"/>
    <w:pPr>
      <w:spacing w:after="0"/>
    </w:pPr>
  </w:style>
  <w:style w:type="character" w:customStyle="1" w:styleId="EndnoteTextChar">
    <w:name w:val="Endnote Text Char"/>
    <w:basedOn w:val="DefaultParagraphFont"/>
    <w:link w:val="EndnoteText"/>
    <w:rsid w:val="009D57E1"/>
    <w:rPr>
      <w:rFonts w:ascii="Verdana" w:hAnsi="Verdana"/>
    </w:rPr>
  </w:style>
  <w:style w:type="character" w:styleId="EndnoteReference">
    <w:name w:val="endnote reference"/>
    <w:basedOn w:val="DefaultParagraphFont"/>
    <w:rsid w:val="009D57E1"/>
    <w:rPr>
      <w:vertAlign w:val="superscript"/>
    </w:rPr>
  </w:style>
  <w:style w:type="paragraph" w:styleId="NormalWeb">
    <w:name w:val="Normal (Web)"/>
    <w:basedOn w:val="Normal"/>
    <w:uiPriority w:val="99"/>
    <w:rsid w:val="00970EF6"/>
    <w:rPr>
      <w:rFonts w:ascii="Times New Roman" w:hAnsi="Times New Roman"/>
      <w:sz w:val="24"/>
      <w:szCs w:val="24"/>
    </w:rPr>
  </w:style>
  <w:style w:type="character" w:styleId="CommentReference">
    <w:name w:val="annotation reference"/>
    <w:basedOn w:val="DefaultParagraphFont"/>
    <w:rsid w:val="00027BB8"/>
    <w:rPr>
      <w:sz w:val="16"/>
      <w:szCs w:val="16"/>
    </w:rPr>
  </w:style>
  <w:style w:type="paragraph" w:styleId="CommentSubject">
    <w:name w:val="annotation subject"/>
    <w:basedOn w:val="CommentText"/>
    <w:next w:val="CommentText"/>
    <w:link w:val="CommentSubjectChar"/>
    <w:rsid w:val="00027BB8"/>
    <w:pPr>
      <w:suppressAutoHyphens/>
      <w:spacing w:after="200"/>
    </w:pPr>
    <w:rPr>
      <w:rFonts w:ascii="Verdana" w:hAnsi="Verdana"/>
      <w:b/>
      <w:bCs/>
      <w:lang w:eastAsia="en-AU"/>
    </w:rPr>
  </w:style>
  <w:style w:type="character" w:customStyle="1" w:styleId="CommentSubjectChar">
    <w:name w:val="Comment Subject Char"/>
    <w:basedOn w:val="CommentTextChar"/>
    <w:link w:val="CommentSubject"/>
    <w:rsid w:val="00027BB8"/>
    <w:rPr>
      <w:rFonts w:ascii="Verdana" w:hAnsi="Verdana"/>
      <w:b/>
      <w:bCs/>
      <w:lang w:eastAsia="en-US"/>
    </w:rPr>
  </w:style>
  <w:style w:type="paragraph" w:styleId="Revision">
    <w:name w:val="Revision"/>
    <w:hidden/>
    <w:uiPriority w:val="99"/>
    <w:semiHidden/>
    <w:rsid w:val="00D63351"/>
    <w:rPr>
      <w:rFonts w:ascii="Verdana" w:hAnsi="Verdana"/>
    </w:rPr>
  </w:style>
  <w:style w:type="paragraph" w:styleId="NoSpacing">
    <w:name w:val="No Spacing"/>
    <w:uiPriority w:val="1"/>
    <w:qFormat/>
    <w:rsid w:val="003F5790"/>
    <w:pPr>
      <w:suppressAutoHyphens/>
    </w:pPr>
    <w:rPr>
      <w:rFonts w:ascii="Verdana" w:hAnsi="Verdana"/>
    </w:rPr>
  </w:style>
  <w:style w:type="character" w:styleId="Strong">
    <w:name w:val="Strong"/>
    <w:basedOn w:val="DefaultParagraphFont"/>
    <w:uiPriority w:val="22"/>
    <w:qFormat/>
    <w:rsid w:val="007923CF"/>
    <w:rPr>
      <w:b/>
      <w:bCs/>
    </w:rPr>
  </w:style>
  <w:style w:type="character" w:customStyle="1" w:styleId="apple-converted-space">
    <w:name w:val="apple-converted-space"/>
    <w:basedOn w:val="DefaultParagraphFont"/>
    <w:rsid w:val="007923CF"/>
  </w:style>
  <w:style w:type="paragraph" w:styleId="Title">
    <w:name w:val="Title"/>
    <w:basedOn w:val="Documenttitle"/>
    <w:next w:val="Normal"/>
    <w:link w:val="TitleChar"/>
    <w:qFormat/>
    <w:rsid w:val="00F4361A"/>
    <w:pPr>
      <w:spacing w:before="600"/>
    </w:pPr>
    <w:rPr>
      <w:rFonts w:ascii="Arial" w:hAnsi="Arial"/>
      <w:sz w:val="72"/>
    </w:rPr>
  </w:style>
  <w:style w:type="character" w:customStyle="1" w:styleId="TitleChar">
    <w:name w:val="Title Char"/>
    <w:basedOn w:val="DefaultParagraphFont"/>
    <w:link w:val="Title"/>
    <w:rsid w:val="00F4361A"/>
    <w:rPr>
      <w:rFonts w:ascii="Arial" w:hAnsi="Arial"/>
      <w:b/>
      <w:sz w:val="72"/>
      <w:szCs w:val="52"/>
    </w:rPr>
  </w:style>
</w:styles>
</file>

<file path=word/webSettings.xml><?xml version="1.0" encoding="utf-8"?>
<w:webSettings xmlns:r="http://schemas.openxmlformats.org/officeDocument/2006/relationships" xmlns:w="http://schemas.openxmlformats.org/wordprocessingml/2006/main">
  <w:divs>
    <w:div w:id="159279084">
      <w:bodyDiv w:val="1"/>
      <w:marLeft w:val="0"/>
      <w:marRight w:val="0"/>
      <w:marTop w:val="0"/>
      <w:marBottom w:val="0"/>
      <w:divBdr>
        <w:top w:val="none" w:sz="0" w:space="0" w:color="auto"/>
        <w:left w:val="none" w:sz="0" w:space="0" w:color="auto"/>
        <w:bottom w:val="none" w:sz="0" w:space="0" w:color="auto"/>
        <w:right w:val="none" w:sz="0" w:space="0" w:color="auto"/>
      </w:divBdr>
      <w:divsChild>
        <w:div w:id="1035038217">
          <w:marLeft w:val="0"/>
          <w:marRight w:val="0"/>
          <w:marTop w:val="0"/>
          <w:marBottom w:val="0"/>
          <w:divBdr>
            <w:top w:val="none" w:sz="0" w:space="0" w:color="auto"/>
            <w:left w:val="none" w:sz="0" w:space="0" w:color="auto"/>
            <w:bottom w:val="none" w:sz="0" w:space="0" w:color="auto"/>
            <w:right w:val="none" w:sz="0" w:space="0" w:color="auto"/>
          </w:divBdr>
          <w:divsChild>
            <w:div w:id="725756762">
              <w:marLeft w:val="0"/>
              <w:marRight w:val="0"/>
              <w:marTop w:val="0"/>
              <w:marBottom w:val="0"/>
              <w:divBdr>
                <w:top w:val="none" w:sz="0" w:space="0" w:color="auto"/>
                <w:left w:val="none" w:sz="0" w:space="0" w:color="auto"/>
                <w:bottom w:val="none" w:sz="0" w:space="0" w:color="auto"/>
                <w:right w:val="none" w:sz="0" w:space="0" w:color="auto"/>
              </w:divBdr>
              <w:divsChild>
                <w:div w:id="16822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71185">
      <w:bodyDiv w:val="1"/>
      <w:marLeft w:val="0"/>
      <w:marRight w:val="0"/>
      <w:marTop w:val="0"/>
      <w:marBottom w:val="0"/>
      <w:divBdr>
        <w:top w:val="none" w:sz="0" w:space="0" w:color="auto"/>
        <w:left w:val="none" w:sz="0" w:space="0" w:color="auto"/>
        <w:bottom w:val="none" w:sz="0" w:space="0" w:color="auto"/>
        <w:right w:val="none" w:sz="0" w:space="0" w:color="auto"/>
      </w:divBdr>
    </w:div>
    <w:div w:id="1070038649">
      <w:bodyDiv w:val="1"/>
      <w:marLeft w:val="0"/>
      <w:marRight w:val="0"/>
      <w:marTop w:val="0"/>
      <w:marBottom w:val="0"/>
      <w:divBdr>
        <w:top w:val="none" w:sz="0" w:space="0" w:color="auto"/>
        <w:left w:val="none" w:sz="0" w:space="0" w:color="auto"/>
        <w:bottom w:val="none" w:sz="0" w:space="0" w:color="auto"/>
        <w:right w:val="none" w:sz="0" w:space="0" w:color="auto"/>
      </w:divBdr>
    </w:div>
    <w:div w:id="1174417724">
      <w:bodyDiv w:val="1"/>
      <w:marLeft w:val="0"/>
      <w:marRight w:val="0"/>
      <w:marTop w:val="0"/>
      <w:marBottom w:val="0"/>
      <w:divBdr>
        <w:top w:val="none" w:sz="0" w:space="0" w:color="auto"/>
        <w:left w:val="none" w:sz="0" w:space="0" w:color="auto"/>
        <w:bottom w:val="none" w:sz="0" w:space="0" w:color="auto"/>
        <w:right w:val="none" w:sz="0" w:space="0" w:color="auto"/>
      </w:divBdr>
      <w:divsChild>
        <w:div w:id="1252276520">
          <w:marLeft w:val="0"/>
          <w:marRight w:val="0"/>
          <w:marTop w:val="0"/>
          <w:marBottom w:val="0"/>
          <w:divBdr>
            <w:top w:val="none" w:sz="0" w:space="0" w:color="auto"/>
            <w:left w:val="none" w:sz="0" w:space="0" w:color="auto"/>
            <w:bottom w:val="none" w:sz="0" w:space="0" w:color="auto"/>
            <w:right w:val="none" w:sz="0" w:space="0" w:color="auto"/>
          </w:divBdr>
          <w:divsChild>
            <w:div w:id="1690720648">
              <w:marLeft w:val="0"/>
              <w:marRight w:val="0"/>
              <w:marTop w:val="0"/>
              <w:marBottom w:val="0"/>
              <w:divBdr>
                <w:top w:val="none" w:sz="0" w:space="0" w:color="auto"/>
                <w:left w:val="none" w:sz="0" w:space="0" w:color="auto"/>
                <w:bottom w:val="none" w:sz="0" w:space="0" w:color="auto"/>
                <w:right w:val="none" w:sz="0" w:space="0" w:color="auto"/>
              </w:divBdr>
              <w:divsChild>
                <w:div w:id="3117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5954">
      <w:bodyDiv w:val="1"/>
      <w:marLeft w:val="0"/>
      <w:marRight w:val="0"/>
      <w:marTop w:val="0"/>
      <w:marBottom w:val="0"/>
      <w:divBdr>
        <w:top w:val="none" w:sz="0" w:space="0" w:color="auto"/>
        <w:left w:val="none" w:sz="0" w:space="0" w:color="auto"/>
        <w:bottom w:val="none" w:sz="0" w:space="0" w:color="auto"/>
        <w:right w:val="none" w:sz="0" w:space="0" w:color="auto"/>
      </w:divBdr>
    </w:div>
    <w:div w:id="1685404446">
      <w:bodyDiv w:val="1"/>
      <w:marLeft w:val="0"/>
      <w:marRight w:val="0"/>
      <w:marTop w:val="0"/>
      <w:marBottom w:val="0"/>
      <w:divBdr>
        <w:top w:val="none" w:sz="0" w:space="0" w:color="auto"/>
        <w:left w:val="none" w:sz="0" w:space="0" w:color="auto"/>
        <w:bottom w:val="none" w:sz="0" w:space="0" w:color="auto"/>
        <w:right w:val="none" w:sz="0" w:space="0" w:color="auto"/>
      </w:divBdr>
    </w:div>
    <w:div w:id="2047173551">
      <w:bodyDiv w:val="1"/>
      <w:marLeft w:val="0"/>
      <w:marRight w:val="0"/>
      <w:marTop w:val="0"/>
      <w:marBottom w:val="0"/>
      <w:divBdr>
        <w:top w:val="none" w:sz="0" w:space="0" w:color="auto"/>
        <w:left w:val="none" w:sz="0" w:space="0" w:color="auto"/>
        <w:bottom w:val="none" w:sz="0" w:space="0" w:color="auto"/>
        <w:right w:val="none" w:sz="0" w:space="0" w:color="auto"/>
      </w:divBdr>
    </w:div>
    <w:div w:id="208240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index.okfn.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omidyar.com/sites/default/files/file_archive/insights/ON%20Report_061114_FNL.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http://intact/wofg/glossary/InTACT_Glossary.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mckinsey.com/insights/business_technology/open_data_unlocking_innovation_and_performance_with_liquid_informatio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do@act.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haredservices/actgovt/ICTdocs/FOI-Online-Policy.pdf"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index.okfn.org/place/australi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5793D2E3DF54CE42A6FABB91C8A94FC4" ma:contentTypeVersion="0" ma:contentTypeDescription="Create a new document." ma:contentTypeScope="" ma:versionID="8f7f9ddf7fe2441c3a661af404e37a3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15960-81B3-4A26-BA2F-27490C83406D}">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D5F7BBB-CE0F-444A-ABB7-682728212A0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C403CB8-173C-4F2C-8359-40115DAB9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E1B07E-4838-44CA-A499-C832597FBAD9}">
  <ds:schemaRefs>
    <ds:schemaRef ds:uri="http://schemas.microsoft.com/sharepoint/v3/contenttype/forms"/>
  </ds:schemaRefs>
</ds:datastoreItem>
</file>

<file path=customXml/itemProps5.xml><?xml version="1.0" encoding="utf-8"?>
<ds:datastoreItem xmlns:ds="http://schemas.openxmlformats.org/officeDocument/2006/customXml" ds:itemID="{DDD31F04-18C5-476F-A7C9-996073EE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2519</Words>
  <Characters>15435</Characters>
  <Application>Microsoft Office Word</Application>
  <DocSecurity>4</DocSecurity>
  <Lines>128</Lines>
  <Paragraphs>35</Paragraphs>
  <ScaleCrop>false</ScaleCrop>
  <HeadingPairs>
    <vt:vector size="2" baseType="variant">
      <vt:variant>
        <vt:lpstr>Title</vt:lpstr>
      </vt:variant>
      <vt:variant>
        <vt:i4>1</vt:i4>
      </vt:variant>
    </vt:vector>
  </HeadingPairs>
  <TitlesOfParts>
    <vt:vector size="1" baseType="lpstr">
      <vt:lpstr>Proactive Release of Data (Open Data) Policy</vt:lpstr>
    </vt:vector>
  </TitlesOfParts>
  <Company>CMTEDD</Company>
  <LinksUpToDate>false</LinksUpToDate>
  <CharactersWithSpaces>17919</CharactersWithSpaces>
  <SharedDoc>false</SharedDoc>
  <HLinks>
    <vt:vector size="24" baseType="variant">
      <vt:variant>
        <vt:i4>7602251</vt:i4>
      </vt:variant>
      <vt:variant>
        <vt:i4>120</vt:i4>
      </vt:variant>
      <vt:variant>
        <vt:i4>0</vt:i4>
      </vt:variant>
      <vt:variant>
        <vt:i4>5</vt:i4>
      </vt:variant>
      <vt:variant>
        <vt:lpwstr/>
      </vt:variant>
      <vt:variant>
        <vt:lpwstr>_Communications</vt:lpwstr>
      </vt:variant>
      <vt:variant>
        <vt:i4>1245185</vt:i4>
      </vt:variant>
      <vt:variant>
        <vt:i4>114</vt:i4>
      </vt:variant>
      <vt:variant>
        <vt:i4>0</vt:i4>
      </vt:variant>
      <vt:variant>
        <vt:i4>5</vt:i4>
      </vt:variant>
      <vt:variant>
        <vt:lpwstr>http://www.territoryrecords.act.gov.au/recordsadvice</vt:lpwstr>
      </vt:variant>
      <vt:variant>
        <vt:lpwstr/>
      </vt:variant>
      <vt:variant>
        <vt:i4>2359331</vt:i4>
      </vt:variant>
      <vt:variant>
        <vt:i4>111</vt:i4>
      </vt:variant>
      <vt:variant>
        <vt:i4>0</vt:i4>
      </vt:variant>
      <vt:variant>
        <vt:i4>5</vt:i4>
      </vt:variant>
      <vt:variant>
        <vt:lpwstr>http://www.smartcopying.edu.au/</vt:lpwstr>
      </vt:variant>
      <vt:variant>
        <vt:lpwstr/>
      </vt:variant>
      <vt:variant>
        <vt:i4>8126469</vt:i4>
      </vt:variant>
      <vt:variant>
        <vt:i4>108</vt:i4>
      </vt:variant>
      <vt:variant>
        <vt:i4>0</vt:i4>
      </vt:variant>
      <vt:variant>
        <vt:i4>5</vt:i4>
      </vt:variant>
      <vt:variant>
        <vt:lpwstr>http://intact/wofg/glossary/InTACT_Glossary.htm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of Data (Open Data) Policy</dc:title>
  <dc:subject>Open Data Policy</dc:subject>
  <dc:creator>ACT Government</dc:creator>
  <cp:keywords>Open Data, Open Data Policy, Open Government</cp:keywords>
  <dc:description>This document is the ACT Government's Open Data Policy.</dc:description>
  <cp:lastModifiedBy>anne mckevett</cp:lastModifiedBy>
  <cp:revision>2</cp:revision>
  <cp:lastPrinted>2015-12-01T23:18:00Z</cp:lastPrinted>
  <dcterms:created xsi:type="dcterms:W3CDTF">2016-05-04T23:23:00Z</dcterms:created>
  <dcterms:modified xsi:type="dcterms:W3CDTF">2016-05-04T23:23:00Z</dcterms:modified>
  <cp:category>Open Government, Open Data</cp:category>
  <cp:contentStatus>Endorsed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0x0101005793D2E3DF54CE42A6FABB91C8A94FC4</vt:lpwstr>
  </property>
  <property fmtid="{D5CDD505-2E9C-101B-9397-08002B2CF9AE}" pid="3" name="docIndexRef">
    <vt:lpwstr>da167960-aac0-47d6-9d6f-5ff08309c8c0</vt:lpwstr>
  </property>
  <property fmtid="{D5CDD505-2E9C-101B-9397-08002B2CF9AE}" pid="4" name="bjSaver">
    <vt:lpwstr>IYdDO2S6GY/wuYs9t2fMBgAtPXWxYl/5</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uid="a68a5297-83bb-4ba8-a7cd-4b62d6981a77" value="" /&gt;&lt;/sisl&gt;</vt:lpwstr>
  </property>
  <property fmtid="{D5CDD505-2E9C-101B-9397-08002B2CF9AE}" pid="7" name="bjDocumentSecurityLabel">
    <vt:lpwstr>UNCLASSIFIED - NO MARKING</vt:lpwstr>
  </property>
  <property fmtid="{D5CDD505-2E9C-101B-9397-08002B2CF9AE}" pid="8" name="bjDocumentLabelFieldCode">
    <vt:lpwstr>UNCLASSIFIED - NO MARKING</vt:lpwstr>
  </property>
  <property fmtid="{D5CDD505-2E9C-101B-9397-08002B2CF9AE}" pid="9" name="bjDocumentLabelFieldCodeHeaderFooter">
    <vt:lpwstr>UNCLASSIFIED - NO MARKING</vt:lpwstr>
  </property>
</Properties>
</file>