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27" w:rsidRDefault="0024250B" w:rsidP="008F1CEA">
      <w:pPr>
        <w:ind w:left="-1276"/>
        <w:rPr>
          <w:b/>
          <w:sz w:val="40"/>
          <w:szCs w:val="40"/>
          <w:lang w:val="en-AU"/>
        </w:rPr>
      </w:pPr>
      <w:r>
        <w:rPr>
          <w:b/>
          <w:noProof/>
          <w:sz w:val="40"/>
          <w:szCs w:val="40"/>
          <w:lang w:val="en-AU" w:eastAsia="en-AU" w:bidi="ar-SA"/>
        </w:rPr>
        <w:drawing>
          <wp:inline distT="0" distB="0" distL="0" distR="0">
            <wp:extent cx="7562850" cy="10697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or-General5.jpg"/>
                    <pic:cNvPicPr/>
                  </pic:nvPicPr>
                  <pic:blipFill>
                    <a:blip r:embed="rId8">
                      <a:extLst>
                        <a:ext uri="{28A0092B-C50C-407E-A947-70E740481C1C}">
                          <a14:useLocalDpi xmlns:a14="http://schemas.microsoft.com/office/drawing/2010/main" val="0"/>
                        </a:ext>
                      </a:extLst>
                    </a:blip>
                    <a:stretch>
                      <a:fillRect/>
                    </a:stretch>
                  </pic:blipFill>
                  <pic:spPr>
                    <a:xfrm>
                      <a:off x="0" y="0"/>
                      <a:ext cx="7564545" cy="10699860"/>
                    </a:xfrm>
                    <a:prstGeom prst="rect">
                      <a:avLst/>
                    </a:prstGeom>
                  </pic:spPr>
                </pic:pic>
              </a:graphicData>
            </a:graphic>
          </wp:inline>
        </w:drawing>
      </w:r>
    </w:p>
    <w:p w:rsidR="00AC10D6" w:rsidRDefault="00AC10D6" w:rsidP="00645B27">
      <w:pPr>
        <w:jc w:val="right"/>
        <w:rPr>
          <w:b/>
          <w:sz w:val="40"/>
          <w:szCs w:val="40"/>
          <w:lang w:val="en-AU"/>
        </w:rPr>
        <w:sectPr w:rsidR="00AC10D6" w:rsidSect="008F1CEA">
          <w:footerReference w:type="first" r:id="rId9"/>
          <w:pgSz w:w="11906" w:h="16838" w:code="9"/>
          <w:pgMar w:top="0" w:right="1276" w:bottom="1276" w:left="1276" w:header="709" w:footer="709" w:gutter="0"/>
          <w:pgNumType w:start="1"/>
          <w:cols w:space="708"/>
          <w:titlePg/>
          <w:docGrid w:linePitch="360"/>
        </w:sectPr>
      </w:pPr>
      <w:bookmarkStart w:id="0" w:name="_GoBack"/>
      <w:bookmarkEnd w:id="0"/>
    </w:p>
    <w:p w:rsidR="001E0DBF" w:rsidRPr="00BE02AC" w:rsidRDefault="001E0DBF" w:rsidP="00BE02AC">
      <w:pPr>
        <w:rPr>
          <w:b/>
          <w:sz w:val="28"/>
          <w:szCs w:val="28"/>
        </w:rPr>
      </w:pPr>
      <w:r w:rsidRPr="00BE02AC">
        <w:rPr>
          <w:b/>
          <w:sz w:val="28"/>
          <w:szCs w:val="28"/>
        </w:rPr>
        <w:lastRenderedPageBreak/>
        <w:t xml:space="preserve">Process for </w:t>
      </w:r>
      <w:r w:rsidR="008E4767" w:rsidRPr="00BE02AC">
        <w:rPr>
          <w:b/>
          <w:sz w:val="28"/>
          <w:szCs w:val="28"/>
        </w:rPr>
        <w:t>R</w:t>
      </w:r>
      <w:r w:rsidRPr="00BE02AC">
        <w:rPr>
          <w:b/>
          <w:sz w:val="28"/>
          <w:szCs w:val="28"/>
        </w:rPr>
        <w:t xml:space="preserve">esponding to </w:t>
      </w:r>
      <w:r w:rsidR="008E4767" w:rsidRPr="00BE02AC">
        <w:rPr>
          <w:b/>
          <w:sz w:val="28"/>
          <w:szCs w:val="28"/>
        </w:rPr>
        <w:t>P</w:t>
      </w:r>
      <w:r w:rsidRPr="00BE02AC">
        <w:rPr>
          <w:b/>
          <w:sz w:val="28"/>
          <w:szCs w:val="28"/>
        </w:rPr>
        <w:t xml:space="preserve">erformance </w:t>
      </w:r>
      <w:r w:rsidR="008E4767" w:rsidRPr="00BE02AC">
        <w:rPr>
          <w:b/>
          <w:sz w:val="28"/>
          <w:szCs w:val="28"/>
        </w:rPr>
        <w:t>A</w:t>
      </w:r>
      <w:r w:rsidRPr="00BE02AC">
        <w:rPr>
          <w:b/>
          <w:sz w:val="28"/>
          <w:szCs w:val="28"/>
        </w:rPr>
        <w:t xml:space="preserve">udit </w:t>
      </w:r>
      <w:r w:rsidR="008E4767" w:rsidRPr="00BE02AC">
        <w:rPr>
          <w:b/>
          <w:sz w:val="28"/>
          <w:szCs w:val="28"/>
        </w:rPr>
        <w:t>R</w:t>
      </w:r>
      <w:r w:rsidRPr="00BE02AC">
        <w:rPr>
          <w:b/>
          <w:sz w:val="28"/>
          <w:szCs w:val="28"/>
        </w:rPr>
        <w:t>eports</w:t>
      </w:r>
    </w:p>
    <w:p w:rsidR="001E0DBF" w:rsidRPr="000164E4" w:rsidRDefault="001E0DBF" w:rsidP="001E0DBF">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sidRPr="000164E4">
        <w:rPr>
          <w:color w:val="365F91" w:themeColor="accent1" w:themeShade="BF"/>
          <w:szCs w:val="24"/>
        </w:rPr>
        <w:t xml:space="preserve">Auditor-General </w:t>
      </w:r>
      <w:r w:rsidR="0060650B">
        <w:rPr>
          <w:color w:val="365F91" w:themeColor="accent1" w:themeShade="BF"/>
          <w:szCs w:val="24"/>
        </w:rPr>
        <w:t xml:space="preserve">formally </w:t>
      </w:r>
      <w:r>
        <w:rPr>
          <w:color w:val="365F91" w:themeColor="accent1" w:themeShade="BF"/>
          <w:szCs w:val="24"/>
        </w:rPr>
        <w:t>commences audit</w:t>
      </w:r>
      <w:r w:rsidR="0060650B">
        <w:rPr>
          <w:color w:val="365F91" w:themeColor="accent1" w:themeShade="BF"/>
          <w:szCs w:val="24"/>
        </w:rPr>
        <w:t>. Arrangements are put in place for communicating with auditee/s and for obtaining information and data</w:t>
      </w:r>
      <w:r w:rsidRPr="000164E4">
        <w:rPr>
          <w:color w:val="365F91" w:themeColor="accent1" w:themeShade="BF"/>
          <w:szCs w:val="24"/>
        </w:rPr>
        <w:t>.</w:t>
      </w:r>
    </w:p>
    <w:p w:rsidR="001E0DBF" w:rsidRPr="000164E4" w:rsidRDefault="001E0DBF" w:rsidP="001E0DBF">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sidRPr="000164E4">
        <w:rPr>
          <w:color w:val="365F91" w:themeColor="accent1" w:themeShade="BF"/>
          <w:szCs w:val="24"/>
        </w:rPr>
        <w:t>(</w:t>
      </w:r>
      <w:r w:rsidR="0060650B">
        <w:rPr>
          <w:color w:val="365F91" w:themeColor="accent1" w:themeShade="BF"/>
          <w:szCs w:val="24"/>
        </w:rPr>
        <w:t xml:space="preserve">Lead </w:t>
      </w:r>
      <w:r w:rsidRPr="000164E4">
        <w:rPr>
          <w:color w:val="365F91" w:themeColor="accent1" w:themeShade="BF"/>
          <w:szCs w:val="24"/>
        </w:rPr>
        <w:t>Directorate nominate</w:t>
      </w:r>
      <w:r w:rsidR="0060650B">
        <w:rPr>
          <w:color w:val="365F91" w:themeColor="accent1" w:themeShade="BF"/>
          <w:szCs w:val="24"/>
        </w:rPr>
        <w:t>s</w:t>
      </w:r>
      <w:r w:rsidRPr="000164E4">
        <w:rPr>
          <w:color w:val="365F91" w:themeColor="accent1" w:themeShade="BF"/>
          <w:szCs w:val="24"/>
        </w:rPr>
        <w:t xml:space="preserve"> a senior point of contact to lead coord</w:t>
      </w:r>
      <w:r w:rsidR="0060650B">
        <w:rPr>
          <w:color w:val="365F91" w:themeColor="accent1" w:themeShade="BF"/>
          <w:szCs w:val="24"/>
        </w:rPr>
        <w:t>inated engagement</w:t>
      </w:r>
      <w:r w:rsidRPr="000164E4">
        <w:rPr>
          <w:color w:val="365F91" w:themeColor="accent1" w:themeShade="BF"/>
          <w:szCs w:val="24"/>
        </w:rPr>
        <w:t>.)</w:t>
      </w:r>
    </w:p>
    <w:p w:rsidR="001E0DBF" w:rsidRPr="009C467E" w:rsidRDefault="0024250B" w:rsidP="009C467E">
      <w:pPr>
        <w:spacing w:after="0" w:line="240" w:lineRule="auto"/>
        <w:jc w:val="center"/>
        <w:rPr>
          <w:szCs w:val="24"/>
        </w:rPr>
      </w:pPr>
      <w:r>
        <w:rPr>
          <w:szCs w:val="24"/>
        </w:rPr>
        <w:pict>
          <v:shapetype id="_x0000_t32" coordsize="21600,21600" o:spt="32" o:oned="t" path="m,l21600,21600e" filled="f">
            <v:path arrowok="t" fillok="f" o:connecttype="none"/>
            <o:lock v:ext="edit" shapetype="t"/>
          </v:shapetype>
          <v:shape id="_x0000_s1027" type="#_x0000_t32" alt="next step" style="position:absolute;left:0;text-align:left;margin-left:227.95pt;margin-top:-.05pt;width:.05pt;height:14.1pt;z-index:251669504;mso-position-vertical:absolute" o:connectortype="straight" strokecolor="black [3213]">
            <v:stroke endarrow="block"/>
          </v:shape>
        </w:pict>
      </w:r>
    </w:p>
    <w:p w:rsidR="001A76FD" w:rsidRPr="000164E4" w:rsidRDefault="001A76FD" w:rsidP="001A76FD">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sidRPr="000164E4">
        <w:rPr>
          <w:color w:val="365F91" w:themeColor="accent1" w:themeShade="BF"/>
          <w:szCs w:val="24"/>
        </w:rPr>
        <w:t xml:space="preserve">Auditor-General provides relevant directorates with draft </w:t>
      </w:r>
      <w:r>
        <w:rPr>
          <w:color w:val="365F91" w:themeColor="accent1" w:themeShade="BF"/>
          <w:szCs w:val="24"/>
        </w:rPr>
        <w:t>proposed report, which may contain</w:t>
      </w:r>
      <w:r w:rsidRPr="000164E4">
        <w:rPr>
          <w:color w:val="365F91" w:themeColor="accent1" w:themeShade="BF"/>
          <w:szCs w:val="24"/>
        </w:rPr>
        <w:t xml:space="preserve"> recommendations</w:t>
      </w:r>
      <w:r>
        <w:rPr>
          <w:color w:val="365F91" w:themeColor="accent1" w:themeShade="BF"/>
          <w:szCs w:val="24"/>
        </w:rPr>
        <w:t>.</w:t>
      </w:r>
    </w:p>
    <w:p w:rsidR="001E0DBF" w:rsidRDefault="0024250B" w:rsidP="001A76FD">
      <w:pPr>
        <w:spacing w:after="0" w:line="240" w:lineRule="auto"/>
        <w:jc w:val="center"/>
        <w:rPr>
          <w:szCs w:val="24"/>
          <w:lang w:val="en-AU"/>
        </w:rPr>
      </w:pPr>
      <w:r>
        <w:rPr>
          <w:noProof/>
          <w:szCs w:val="24"/>
          <w:lang w:val="en-AU" w:eastAsia="en-AU" w:bidi="ar-SA"/>
        </w:rPr>
        <w:pict>
          <v:shape id="_x0000_s1028" type="#_x0000_t32" alt="next step" style="position:absolute;left:0;text-align:left;margin-left:227.95pt;margin-top:.2pt;width:.4pt;height:14.15pt;z-index:251670528;mso-position-vertical:absolute" o:connectortype="straight" strokecolor="black [3213]">
            <v:stroke endarrow="block"/>
          </v:shape>
        </w:pict>
      </w:r>
    </w:p>
    <w:p w:rsidR="001E0DBF" w:rsidRDefault="001E0DBF" w:rsidP="001E0DBF">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Pr>
          <w:color w:val="365F91" w:themeColor="accent1" w:themeShade="BF"/>
          <w:szCs w:val="24"/>
        </w:rPr>
        <w:t xml:space="preserve">Directorates provide a response to the Auditor-General on the draft </w:t>
      </w:r>
      <w:r w:rsidR="001A76FD">
        <w:rPr>
          <w:color w:val="365F91" w:themeColor="accent1" w:themeShade="BF"/>
          <w:szCs w:val="24"/>
        </w:rPr>
        <w:t xml:space="preserve">proposed </w:t>
      </w:r>
      <w:r>
        <w:rPr>
          <w:color w:val="365F91" w:themeColor="accent1" w:themeShade="BF"/>
          <w:szCs w:val="24"/>
        </w:rPr>
        <w:t>report.</w:t>
      </w:r>
    </w:p>
    <w:p w:rsidR="001E0DBF" w:rsidRPr="00562DC3" w:rsidRDefault="0024250B" w:rsidP="001E0DBF">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Pr>
          <w:noProof/>
          <w:color w:val="FFFFFF" w:themeColor="background1"/>
          <w:szCs w:val="24"/>
          <w:lang w:val="en-AU" w:eastAsia="en-AU" w:bidi="ar-SA"/>
        </w:rPr>
        <w:pict>
          <v:shape id="_x0000_s1032" type="#_x0000_t32" alt="next step" style="position:absolute;left:0;text-align:left;margin-left:228pt;margin-top:31.95pt;width:.15pt;height:15pt;z-index:251674624;mso-position-vertical:absolute" o:connectortype="straight" strokecolor="black [3213]">
            <v:stroke endarrow="block"/>
          </v:shape>
        </w:pict>
      </w:r>
      <w:r w:rsidR="001E0DBF">
        <w:rPr>
          <w:color w:val="365F91" w:themeColor="accent1" w:themeShade="BF"/>
          <w:szCs w:val="24"/>
        </w:rPr>
        <w:t xml:space="preserve">(Directorate responses </w:t>
      </w:r>
      <w:r w:rsidR="001A76FD">
        <w:rPr>
          <w:color w:val="365F91" w:themeColor="accent1" w:themeShade="BF"/>
          <w:szCs w:val="24"/>
        </w:rPr>
        <w:t>should be focused on</w:t>
      </w:r>
      <w:r w:rsidR="001E0DBF">
        <w:rPr>
          <w:color w:val="365F91" w:themeColor="accent1" w:themeShade="BF"/>
          <w:szCs w:val="24"/>
        </w:rPr>
        <w:t xml:space="preserve"> correcting factual inaccu</w:t>
      </w:r>
      <w:r w:rsidR="001A76FD">
        <w:rPr>
          <w:color w:val="365F91" w:themeColor="accent1" w:themeShade="BF"/>
          <w:szCs w:val="24"/>
        </w:rPr>
        <w:t>racies,</w:t>
      </w:r>
      <w:r w:rsidR="001E0DBF">
        <w:rPr>
          <w:color w:val="365F91" w:themeColor="accent1" w:themeShade="BF"/>
          <w:szCs w:val="24"/>
        </w:rPr>
        <w:t xml:space="preserve"> providing additional information where necessary</w:t>
      </w:r>
      <w:r w:rsidR="001A76FD">
        <w:rPr>
          <w:color w:val="365F91" w:themeColor="accent1" w:themeShade="BF"/>
          <w:szCs w:val="24"/>
        </w:rPr>
        <w:t xml:space="preserve"> and clarifying any misinterpretations</w:t>
      </w:r>
      <w:r w:rsidR="001E0DBF">
        <w:rPr>
          <w:color w:val="365F91" w:themeColor="accent1" w:themeShade="BF"/>
          <w:szCs w:val="24"/>
        </w:rPr>
        <w:t>)</w:t>
      </w:r>
    </w:p>
    <w:p w:rsidR="001E0DBF" w:rsidRPr="006C7338" w:rsidRDefault="001E0DBF" w:rsidP="001E0DBF">
      <w:pPr>
        <w:shd w:val="clear" w:color="auto" w:fill="FFFFFF" w:themeFill="background1"/>
        <w:spacing w:after="0" w:line="240" w:lineRule="auto"/>
        <w:jc w:val="center"/>
        <w:rPr>
          <w:color w:val="FFFFFF" w:themeColor="background1"/>
          <w:szCs w:val="24"/>
        </w:rPr>
      </w:pPr>
    </w:p>
    <w:p w:rsidR="006C7338" w:rsidRPr="000164E4" w:rsidRDefault="006C7338" w:rsidP="006C7338">
      <w:pPr>
        <w:pBdr>
          <w:top w:val="single" w:sz="18" w:space="0"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sidRPr="000164E4">
        <w:rPr>
          <w:color w:val="365F91" w:themeColor="accent1" w:themeShade="BF"/>
          <w:szCs w:val="24"/>
        </w:rPr>
        <w:t xml:space="preserve">Auditor-General provides relevant directorates with </w:t>
      </w:r>
      <w:r>
        <w:rPr>
          <w:color w:val="365F91" w:themeColor="accent1" w:themeShade="BF"/>
          <w:szCs w:val="24"/>
        </w:rPr>
        <w:t>final</w:t>
      </w:r>
      <w:r w:rsidRPr="000164E4">
        <w:rPr>
          <w:color w:val="365F91" w:themeColor="accent1" w:themeShade="BF"/>
          <w:szCs w:val="24"/>
        </w:rPr>
        <w:t xml:space="preserve"> </w:t>
      </w:r>
      <w:r>
        <w:rPr>
          <w:color w:val="365F91" w:themeColor="accent1" w:themeShade="BF"/>
          <w:szCs w:val="24"/>
        </w:rPr>
        <w:t>proposed report, which may contain</w:t>
      </w:r>
      <w:r w:rsidRPr="000164E4">
        <w:rPr>
          <w:color w:val="365F91" w:themeColor="accent1" w:themeShade="BF"/>
          <w:szCs w:val="24"/>
        </w:rPr>
        <w:t xml:space="preserve"> recommendations</w:t>
      </w:r>
      <w:r>
        <w:rPr>
          <w:color w:val="365F91" w:themeColor="accent1" w:themeShade="BF"/>
          <w:szCs w:val="24"/>
        </w:rPr>
        <w:t>.</w:t>
      </w:r>
    </w:p>
    <w:p w:rsidR="006C7338" w:rsidRDefault="0024250B" w:rsidP="006C7338">
      <w:pPr>
        <w:spacing w:after="0" w:line="240" w:lineRule="auto"/>
        <w:jc w:val="center"/>
        <w:rPr>
          <w:szCs w:val="24"/>
          <w:lang w:val="en-AU"/>
        </w:rPr>
      </w:pPr>
      <w:r>
        <w:rPr>
          <w:noProof/>
          <w:szCs w:val="24"/>
          <w:lang w:val="en-AU" w:eastAsia="en-AU" w:bidi="ar-SA"/>
        </w:rPr>
        <w:pict>
          <v:shape id="_x0000_s1035" type="#_x0000_t32" alt="next step" style="position:absolute;left:0;text-align:left;margin-left:227.95pt;margin-top:.2pt;width:.4pt;height:14.15pt;z-index:251678720;mso-position-vertical:absolute" o:connectortype="straight" strokecolor="black [3213]">
            <v:stroke endarrow="block"/>
          </v:shape>
        </w:pict>
      </w:r>
    </w:p>
    <w:p w:rsidR="006C7338" w:rsidRDefault="006C7338" w:rsidP="006C7338">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Pr>
          <w:color w:val="365F91" w:themeColor="accent1" w:themeShade="BF"/>
          <w:szCs w:val="24"/>
        </w:rPr>
        <w:t>Directorates provide a management response to the Auditor-General on the final proposed report. Directorates have the opportunity to provide comments for inclusion in the final report.</w:t>
      </w:r>
    </w:p>
    <w:p w:rsidR="006C7338" w:rsidRPr="00562DC3" w:rsidRDefault="0024250B" w:rsidP="006C7338">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Pr>
          <w:noProof/>
          <w:color w:val="FFFFFF" w:themeColor="background1"/>
          <w:szCs w:val="24"/>
          <w:lang w:val="en-AU" w:eastAsia="en-AU" w:bidi="ar-SA"/>
        </w:rPr>
        <w:pict>
          <v:shape id="_x0000_s1036" type="#_x0000_t32" alt="next step" style="position:absolute;left:0;text-align:left;margin-left:228pt;margin-top:31.95pt;width:.15pt;height:15pt;z-index:251679744;mso-position-vertical:absolute" o:connectortype="straight" strokecolor="black [3213]">
            <v:stroke endarrow="block"/>
          </v:shape>
        </w:pict>
      </w:r>
      <w:r w:rsidR="006C7338">
        <w:rPr>
          <w:color w:val="365F91" w:themeColor="accent1" w:themeShade="BF"/>
          <w:szCs w:val="24"/>
        </w:rPr>
        <w:t>(Directorate responses should bring attention to any further issues they wish to raise, or otherwise advise that there are no further issues.)</w:t>
      </w:r>
    </w:p>
    <w:p w:rsidR="006C7338" w:rsidRPr="006C7338" w:rsidRDefault="006C7338" w:rsidP="006C7338">
      <w:pPr>
        <w:shd w:val="clear" w:color="auto" w:fill="FFFFFF" w:themeFill="background1"/>
        <w:spacing w:after="0" w:line="240" w:lineRule="auto"/>
        <w:jc w:val="center"/>
        <w:rPr>
          <w:color w:val="FFFFFF" w:themeColor="background1"/>
          <w:szCs w:val="24"/>
        </w:rPr>
      </w:pPr>
    </w:p>
    <w:p w:rsidR="001E0DBF" w:rsidRPr="00413DAD" w:rsidRDefault="001E0DBF" w:rsidP="006C7338">
      <w:pPr>
        <w:shd w:val="clear" w:color="auto" w:fill="365F91" w:themeFill="accent1" w:themeFillShade="BF"/>
        <w:spacing w:after="120" w:line="240" w:lineRule="auto"/>
        <w:jc w:val="center"/>
        <w:rPr>
          <w:b/>
          <w:color w:val="FFFFFF" w:themeColor="background1"/>
          <w:sz w:val="32"/>
          <w:szCs w:val="32"/>
        </w:rPr>
      </w:pPr>
      <w:r w:rsidRPr="00413DAD">
        <w:rPr>
          <w:b/>
          <w:color w:val="FFFFFF" w:themeColor="background1"/>
          <w:sz w:val="32"/>
          <w:szCs w:val="32"/>
        </w:rPr>
        <w:t xml:space="preserve">Auditor-General’s report </w:t>
      </w:r>
      <w:r w:rsidR="00EC7170">
        <w:rPr>
          <w:b/>
          <w:color w:val="FFFFFF" w:themeColor="background1"/>
          <w:sz w:val="32"/>
          <w:szCs w:val="32"/>
        </w:rPr>
        <w:t>presented to the Speaker</w:t>
      </w:r>
      <w:r w:rsidRPr="00413DAD">
        <w:rPr>
          <w:b/>
          <w:color w:val="FFFFFF" w:themeColor="background1"/>
          <w:sz w:val="32"/>
          <w:szCs w:val="32"/>
        </w:rPr>
        <w:t xml:space="preserve"> </w:t>
      </w:r>
    </w:p>
    <w:p w:rsidR="001E0DBF" w:rsidRDefault="0024250B" w:rsidP="001E0DBF">
      <w:pPr>
        <w:shd w:val="clear" w:color="auto" w:fill="365F91" w:themeFill="accent1" w:themeFillShade="BF"/>
        <w:spacing w:after="0" w:line="240" w:lineRule="auto"/>
        <w:jc w:val="center"/>
        <w:rPr>
          <w:color w:val="FFFFFF" w:themeColor="background1"/>
          <w:szCs w:val="24"/>
          <w:lang w:val="en-AU"/>
        </w:rPr>
      </w:pPr>
      <w:r>
        <w:rPr>
          <w:noProof/>
          <w:color w:val="FFFFFF" w:themeColor="background1"/>
          <w:szCs w:val="24"/>
          <w:lang w:val="en-AU" w:eastAsia="en-AU" w:bidi="ar-SA"/>
        </w:rPr>
        <w:pict>
          <v:shape id="_x0000_s1029" type="#_x0000_t32" style="position:absolute;left:0;text-align:left;margin-left:228.35pt;margin-top:28.35pt;width:0;height:16.4pt;z-index:2516715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v:stroke endarrow="block"/>
          </v:shape>
        </w:pict>
      </w:r>
      <w:r w:rsidR="001E0DBF" w:rsidRPr="00413DAD">
        <w:rPr>
          <w:color w:val="FFFFFF" w:themeColor="background1"/>
          <w:szCs w:val="24"/>
        </w:rPr>
        <w:t>All reports are automatically referred to the Standing Committee on Public Accounts (PAC) for consideration and report.</w:t>
      </w:r>
    </w:p>
    <w:p w:rsidR="001E0DBF" w:rsidRPr="00342F26" w:rsidRDefault="001E0DBF" w:rsidP="001E0DBF">
      <w:pPr>
        <w:spacing w:after="0" w:line="240" w:lineRule="auto"/>
        <w:jc w:val="center"/>
        <w:rPr>
          <w:b/>
          <w:color w:val="365F91" w:themeColor="accent1" w:themeShade="BF"/>
          <w:szCs w:val="24"/>
        </w:rPr>
      </w:pPr>
    </w:p>
    <w:p w:rsidR="001E0DBF" w:rsidRPr="00562DC3" w:rsidRDefault="001E0DBF" w:rsidP="00342F26">
      <w:pPr>
        <w:pBdr>
          <w:top w:val="single" w:sz="18" w:space="1" w:color="17365D" w:themeColor="text2" w:themeShade="BF"/>
          <w:left w:val="single" w:sz="18" w:space="4" w:color="17365D" w:themeColor="text2" w:themeShade="BF"/>
          <w:bottom w:val="single" w:sz="18" w:space="0" w:color="17365D" w:themeColor="text2" w:themeShade="BF"/>
          <w:right w:val="single" w:sz="18" w:space="4" w:color="17365D" w:themeColor="text2" w:themeShade="BF"/>
        </w:pBdr>
        <w:spacing w:after="0" w:line="240" w:lineRule="auto"/>
        <w:jc w:val="center"/>
        <w:rPr>
          <w:color w:val="365F91" w:themeColor="accent1" w:themeShade="BF"/>
          <w:szCs w:val="24"/>
        </w:rPr>
      </w:pPr>
      <w:r>
        <w:rPr>
          <w:color w:val="365F91" w:themeColor="accent1" w:themeShade="BF"/>
          <w:szCs w:val="24"/>
        </w:rPr>
        <w:t xml:space="preserve">Government prepares a response to the Auditor-General’s report. Government Response is tabled within </w:t>
      </w:r>
      <w:r w:rsidR="00A2221F">
        <w:rPr>
          <w:color w:val="365F91" w:themeColor="accent1" w:themeShade="BF"/>
          <w:szCs w:val="24"/>
        </w:rPr>
        <w:t>four</w:t>
      </w:r>
      <w:r>
        <w:rPr>
          <w:color w:val="365F91" w:themeColor="accent1" w:themeShade="BF"/>
          <w:szCs w:val="24"/>
        </w:rPr>
        <w:t xml:space="preserve"> months</w:t>
      </w:r>
      <w:r w:rsidR="00A2221F">
        <w:rPr>
          <w:color w:val="365F91" w:themeColor="accent1" w:themeShade="BF"/>
          <w:szCs w:val="24"/>
        </w:rPr>
        <w:t xml:space="preserve">, or </w:t>
      </w:r>
      <w:r w:rsidR="00B16B9A">
        <w:rPr>
          <w:color w:val="365F91" w:themeColor="accent1" w:themeShade="BF"/>
          <w:szCs w:val="24"/>
        </w:rPr>
        <w:t>provided to the Speaker</w:t>
      </w:r>
      <w:r w:rsidR="00A2221F">
        <w:rPr>
          <w:color w:val="365F91" w:themeColor="accent1" w:themeShade="BF"/>
          <w:szCs w:val="24"/>
        </w:rPr>
        <w:t xml:space="preserve"> within four months and tabled on the next day of sitting</w:t>
      </w:r>
      <w:r>
        <w:rPr>
          <w:color w:val="365F91" w:themeColor="accent1" w:themeShade="BF"/>
          <w:szCs w:val="24"/>
        </w:rPr>
        <w:t>.</w:t>
      </w:r>
    </w:p>
    <w:p w:rsidR="001E0DBF" w:rsidRPr="004227DF" w:rsidRDefault="0024250B" w:rsidP="001E0DBF">
      <w:pPr>
        <w:shd w:val="clear" w:color="auto" w:fill="FFFFFF" w:themeFill="background1"/>
        <w:spacing w:after="0" w:line="240" w:lineRule="auto"/>
        <w:jc w:val="center"/>
        <w:rPr>
          <w:b/>
          <w:color w:val="FFFFFF" w:themeColor="background1"/>
          <w:szCs w:val="24"/>
        </w:rPr>
      </w:pPr>
      <w:r>
        <w:rPr>
          <w:b/>
          <w:noProof/>
          <w:color w:val="FFFFFF" w:themeColor="background1"/>
          <w:szCs w:val="24"/>
          <w:lang w:val="en-AU" w:eastAsia="en-AU" w:bidi="ar-SA"/>
        </w:rPr>
        <w:pict>
          <v:shape id="_x0000_s1033" type="#_x0000_t32" alt="next step" style="position:absolute;left:0;text-align:left;margin-left:230.65pt;margin-top:.55pt;width:.1pt;height:14.2pt;flip:x;z-index:251675648" o:connectortype="straight" strokecolor="black [3213]">
            <v:stroke endarrow="block"/>
          </v:shape>
        </w:pict>
      </w:r>
    </w:p>
    <w:p w:rsidR="001E0DBF" w:rsidRPr="00917219" w:rsidRDefault="008554FA" w:rsidP="001E0DBF">
      <w:pPr>
        <w:shd w:val="clear" w:color="auto" w:fill="365F91" w:themeFill="accent1" w:themeFillShade="BF"/>
        <w:spacing w:after="0" w:line="240" w:lineRule="auto"/>
        <w:ind w:firstLine="720"/>
        <w:rPr>
          <w:b/>
          <w:color w:val="FFFFFF" w:themeColor="background1"/>
          <w:szCs w:val="24"/>
        </w:rPr>
      </w:pPr>
      <w:r>
        <w:rPr>
          <w:b/>
          <w:color w:val="FFFFFF" w:themeColor="background1"/>
          <w:szCs w:val="24"/>
        </w:rPr>
        <w:t>PAC advises nil further inquiry</w:t>
      </w:r>
      <w:r>
        <w:rPr>
          <w:b/>
          <w:color w:val="FFFFFF" w:themeColor="background1"/>
          <w:szCs w:val="24"/>
        </w:rPr>
        <w:tab/>
        <w:t>OR</w:t>
      </w:r>
      <w:r>
        <w:rPr>
          <w:b/>
          <w:color w:val="FFFFFF" w:themeColor="background1"/>
          <w:szCs w:val="24"/>
        </w:rPr>
        <w:tab/>
      </w:r>
      <w:r w:rsidR="001E0DBF" w:rsidRPr="00917219">
        <w:rPr>
          <w:b/>
          <w:color w:val="FFFFFF" w:themeColor="background1"/>
          <w:szCs w:val="24"/>
        </w:rPr>
        <w:t xml:space="preserve">PAC </w:t>
      </w:r>
      <w:r>
        <w:rPr>
          <w:b/>
          <w:color w:val="FFFFFF" w:themeColor="background1"/>
          <w:szCs w:val="24"/>
        </w:rPr>
        <w:t>tables a report on the audit report</w:t>
      </w:r>
    </w:p>
    <w:p w:rsidR="001E0DBF" w:rsidRPr="004227DF" w:rsidRDefault="0024250B" w:rsidP="004227DF">
      <w:pPr>
        <w:spacing w:after="0" w:line="240" w:lineRule="auto"/>
        <w:ind w:left="2041" w:firstLine="119"/>
        <w:rPr>
          <w:szCs w:val="24"/>
          <w:lang w:val="en-AU"/>
        </w:rPr>
      </w:pPr>
      <w:r>
        <w:rPr>
          <w:noProof/>
          <w:color w:val="FFFFFF" w:themeColor="background1"/>
          <w:szCs w:val="24"/>
          <w:lang w:val="en-AU" w:eastAsia="en-AU" w:bidi="ar-SA"/>
        </w:rPr>
        <w:pict>
          <v:roundrect id="_x0000_s1026" style="position:absolute;left:0;text-align:left;margin-left:253.1pt;margin-top:13.75pt;width:198.45pt;height:94.85pt;z-index:251668480" arcsize="10923f" strokecolor="#1f497d [3215]">
            <v:textbox style="mso-next-textbox:#_x0000_s1026">
              <w:txbxContent>
                <w:p w:rsidR="00875310" w:rsidRPr="00625E3B" w:rsidRDefault="00875310" w:rsidP="00875310">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1F497D" w:themeColor="text2"/>
                      <w:szCs w:val="24"/>
                    </w:rPr>
                  </w:pPr>
                  <w:r>
                    <w:rPr>
                      <w:color w:val="1F497D" w:themeColor="text2"/>
                      <w:szCs w:val="24"/>
                    </w:rPr>
                    <w:t xml:space="preserve">Government response to the PAC recommendations </w:t>
                  </w:r>
                  <w:r w:rsidRPr="00625E3B">
                    <w:rPr>
                      <w:color w:val="1F497D" w:themeColor="text2"/>
                      <w:szCs w:val="24"/>
                    </w:rPr>
                    <w:t xml:space="preserve">is tabled within </w:t>
                  </w:r>
                  <w:r>
                    <w:rPr>
                      <w:color w:val="1F497D" w:themeColor="text2"/>
                      <w:szCs w:val="24"/>
                    </w:rPr>
                    <w:t>four</w:t>
                  </w:r>
                  <w:r w:rsidRPr="00625E3B">
                    <w:rPr>
                      <w:color w:val="1F497D" w:themeColor="text2"/>
                      <w:szCs w:val="24"/>
                    </w:rPr>
                    <w:t xml:space="preserve"> months</w:t>
                  </w:r>
                  <w:r>
                    <w:rPr>
                      <w:color w:val="1F497D" w:themeColor="text2"/>
                      <w:szCs w:val="24"/>
                    </w:rPr>
                    <w:t xml:space="preserve"> OR provided to the Speaker within four months and tabled on the next day of sitting</w:t>
                  </w:r>
                  <w:r w:rsidRPr="00625E3B">
                    <w:rPr>
                      <w:color w:val="1F497D" w:themeColor="text2"/>
                      <w:szCs w:val="24"/>
                    </w:rPr>
                    <w:t>.</w:t>
                  </w:r>
                </w:p>
                <w:p w:rsidR="00875310" w:rsidRPr="009D3ECA" w:rsidRDefault="00875310" w:rsidP="001E0DBF">
                  <w:pPr>
                    <w:jc w:val="center"/>
                    <w:rPr>
                      <w:color w:val="1F497D" w:themeColor="text2"/>
                      <w:szCs w:val="24"/>
                    </w:rPr>
                  </w:pPr>
                  <w:r>
                    <w:rPr>
                      <w:color w:val="1F497D" w:themeColor="text2"/>
                      <w:szCs w:val="24"/>
                    </w:rPr>
                    <w:t xml:space="preserve"> </w:t>
                  </w:r>
                </w:p>
              </w:txbxContent>
            </v:textbox>
          </v:roundrect>
        </w:pict>
      </w:r>
      <w:r>
        <w:rPr>
          <w:noProof/>
          <w:color w:val="FFFFFF" w:themeColor="background1"/>
          <w:szCs w:val="24"/>
          <w:lang w:val="en-AU" w:eastAsia="en-AU" w:bidi="ar-SA"/>
        </w:rPr>
        <w:pict>
          <v:shape id="_x0000_s1031" type="#_x0000_t32" alt="next step" style="position:absolute;left:0;text-align:left;margin-left:106.75pt;margin-top:.7pt;width:0;height:115.5pt;z-index:251673600" o:connectortype="straight" strokecolor="black [3213]">
            <v:stroke endarrow="block"/>
          </v:shape>
        </w:pict>
      </w:r>
      <w:r>
        <w:rPr>
          <w:noProof/>
          <w:color w:val="FFFFFF" w:themeColor="background1"/>
          <w:szCs w:val="24"/>
          <w:lang w:val="en-AU" w:eastAsia="en-AU" w:bidi="ar-SA"/>
        </w:rPr>
        <w:pict>
          <v:shape id="_x0000_s1030" type="#_x0000_t32" alt="next step" style="position:absolute;left:0;text-align:left;margin-left:346.75pt;margin-top:.65pt;width:.05pt;height:13.1pt;z-index:251672576" o:connectortype="straight" strokecolor="black [3213]">
            <v:stroke endarrow="block"/>
          </v:shape>
        </w:pict>
      </w:r>
      <w:r w:rsidR="001E0DBF" w:rsidRPr="004227DF">
        <w:rPr>
          <w:szCs w:val="24"/>
          <w:lang w:val="en-AU"/>
        </w:rPr>
        <w:t xml:space="preserve">  </w:t>
      </w:r>
    </w:p>
    <w:p w:rsidR="001E0DBF" w:rsidRDefault="001E0DBF" w:rsidP="004227DF">
      <w:pPr>
        <w:spacing w:after="0" w:line="240" w:lineRule="auto"/>
        <w:rPr>
          <w:szCs w:val="24"/>
          <w:lang w:val="en-AU"/>
        </w:rPr>
      </w:pPr>
    </w:p>
    <w:p w:rsidR="004227DF" w:rsidRDefault="004227DF" w:rsidP="004227DF">
      <w:pPr>
        <w:spacing w:after="0" w:line="240" w:lineRule="auto"/>
        <w:rPr>
          <w:szCs w:val="24"/>
          <w:lang w:val="en-AU"/>
        </w:rPr>
      </w:pPr>
    </w:p>
    <w:p w:rsidR="004227DF" w:rsidRPr="004227DF" w:rsidRDefault="004227DF" w:rsidP="004227DF">
      <w:pPr>
        <w:spacing w:after="0" w:line="240" w:lineRule="auto"/>
        <w:rPr>
          <w:szCs w:val="24"/>
          <w:lang w:val="en-AU"/>
        </w:rPr>
      </w:pPr>
    </w:p>
    <w:p w:rsidR="001E0DBF" w:rsidRPr="004227DF" w:rsidRDefault="001E0DBF" w:rsidP="004227DF">
      <w:pPr>
        <w:spacing w:after="0" w:line="240" w:lineRule="auto"/>
        <w:rPr>
          <w:szCs w:val="24"/>
          <w:lang w:val="en-AU"/>
        </w:rPr>
      </w:pPr>
    </w:p>
    <w:p w:rsidR="001E0DBF" w:rsidRPr="004227DF" w:rsidRDefault="001E0DBF" w:rsidP="004227DF">
      <w:pPr>
        <w:spacing w:after="0" w:line="240" w:lineRule="auto"/>
        <w:rPr>
          <w:szCs w:val="24"/>
          <w:lang w:val="en-AU"/>
        </w:rPr>
      </w:pPr>
    </w:p>
    <w:p w:rsidR="001E0DBF" w:rsidRPr="004227DF" w:rsidRDefault="001E0DBF" w:rsidP="004227DF">
      <w:pPr>
        <w:spacing w:after="0" w:line="240" w:lineRule="auto"/>
        <w:rPr>
          <w:szCs w:val="24"/>
          <w:lang w:val="en-AU"/>
        </w:rPr>
      </w:pPr>
    </w:p>
    <w:p w:rsidR="001E0DBF" w:rsidRPr="004227DF" w:rsidRDefault="0024250B" w:rsidP="004227DF">
      <w:pPr>
        <w:spacing w:after="0" w:line="240" w:lineRule="auto"/>
        <w:rPr>
          <w:szCs w:val="24"/>
          <w:lang w:val="en-AU"/>
        </w:rPr>
      </w:pPr>
      <w:r>
        <w:rPr>
          <w:noProof/>
          <w:szCs w:val="24"/>
          <w:lang w:val="en-AU" w:eastAsia="en-AU" w:bidi="ar-SA"/>
        </w:rPr>
        <w:pict>
          <v:shape id="_x0000_s1034" type="#_x0000_t32" alt="next step" style="position:absolute;margin-left:346.85pt;margin-top:6.05pt;width:.05pt;height:7.6pt;z-index:251676672" o:connectortype="straight" strokecolor="black [3213]">
            <v:stroke endarrow="block"/>
          </v:shape>
        </w:pict>
      </w:r>
    </w:p>
    <w:p w:rsidR="001E0DBF" w:rsidRPr="00477409" w:rsidRDefault="001E0DBF" w:rsidP="001E0DBF">
      <w:pPr>
        <w:pBdr>
          <w:top w:val="single" w:sz="18" w:space="1" w:color="17365D" w:themeColor="text2" w:themeShade="BF"/>
          <w:left w:val="single" w:sz="18" w:space="4" w:color="17365D" w:themeColor="text2" w:themeShade="BF"/>
          <w:bottom w:val="single" w:sz="18" w:space="1" w:color="17365D" w:themeColor="text2" w:themeShade="BF"/>
          <w:right w:val="single" w:sz="18" w:space="4" w:color="17365D" w:themeColor="text2" w:themeShade="BF"/>
        </w:pBdr>
        <w:spacing w:after="0" w:line="240" w:lineRule="auto"/>
        <w:jc w:val="center"/>
        <w:rPr>
          <w:color w:val="365F91" w:themeColor="accent1" w:themeShade="BF"/>
          <w:szCs w:val="24"/>
        </w:rPr>
      </w:pPr>
      <w:r>
        <w:rPr>
          <w:color w:val="365F91" w:themeColor="accent1" w:themeShade="BF"/>
          <w:szCs w:val="24"/>
        </w:rPr>
        <w:t xml:space="preserve">Government implements its response to the Auditor-General’s report and any subsequent PAC report. </w:t>
      </w:r>
    </w:p>
    <w:p w:rsidR="002511F5" w:rsidRDefault="002511F5" w:rsidP="001E0DBF">
      <w:pPr>
        <w:spacing w:after="0" w:line="240" w:lineRule="auto"/>
        <w:rPr>
          <w:szCs w:val="24"/>
          <w:lang w:val="en-AU"/>
        </w:rPr>
      </w:pPr>
    </w:p>
    <w:p w:rsidR="002511F5" w:rsidRDefault="002511F5" w:rsidP="001E0DBF">
      <w:pPr>
        <w:spacing w:after="0" w:line="240" w:lineRule="auto"/>
        <w:rPr>
          <w:szCs w:val="24"/>
          <w:lang w:val="en-AU"/>
        </w:rPr>
      </w:pPr>
    </w:p>
    <w:p w:rsidR="002511F5" w:rsidRDefault="002511F5" w:rsidP="001E0DBF">
      <w:pPr>
        <w:spacing w:after="0" w:line="240" w:lineRule="auto"/>
        <w:rPr>
          <w:szCs w:val="24"/>
          <w:lang w:val="en-AU"/>
        </w:rPr>
      </w:pPr>
    </w:p>
    <w:p w:rsidR="001E0DBF" w:rsidRPr="002511F5" w:rsidRDefault="001E0DBF" w:rsidP="001E0DBF">
      <w:pPr>
        <w:spacing w:after="0" w:line="240" w:lineRule="auto"/>
        <w:rPr>
          <w:sz w:val="22"/>
          <w:lang w:val="en-AU"/>
        </w:rPr>
      </w:pPr>
      <w:r w:rsidRPr="002511F5">
        <w:rPr>
          <w:sz w:val="22"/>
          <w:lang w:val="en-AU"/>
        </w:rPr>
        <w:t>The Government is committed to timely and thorough consideration of, and response to, recommendations made by the Auditor-General</w:t>
      </w:r>
      <w:r w:rsidR="008E4767" w:rsidRPr="002511F5">
        <w:rPr>
          <w:sz w:val="22"/>
          <w:lang w:val="en-AU"/>
        </w:rPr>
        <w:t xml:space="preserve"> and </w:t>
      </w:r>
      <w:r w:rsidR="00B16B9A">
        <w:rPr>
          <w:sz w:val="22"/>
          <w:lang w:val="en-AU"/>
        </w:rPr>
        <w:t>Assembly Committees</w:t>
      </w:r>
      <w:r w:rsidRPr="002511F5">
        <w:rPr>
          <w:sz w:val="22"/>
          <w:lang w:val="en-AU"/>
        </w:rPr>
        <w:t>.</w:t>
      </w:r>
    </w:p>
    <w:sdt>
      <w:sdtPr>
        <w:rPr>
          <w:b w:val="0"/>
          <w:bCs w:val="0"/>
          <w:sz w:val="24"/>
          <w:szCs w:val="22"/>
        </w:rPr>
        <w:id w:val="164017596"/>
        <w:docPartObj>
          <w:docPartGallery w:val="Table of Contents"/>
          <w:docPartUnique/>
        </w:docPartObj>
      </w:sdtPr>
      <w:sdtEndPr/>
      <w:sdtContent>
        <w:p w:rsidR="00BE02AC" w:rsidRDefault="00BE02AC" w:rsidP="00BE02AC">
          <w:pPr>
            <w:pStyle w:val="TOCHeading"/>
          </w:pPr>
          <w:r>
            <w:t>Table of Contents</w:t>
          </w:r>
        </w:p>
        <w:p w:rsidR="000346BB" w:rsidRPr="0000156E" w:rsidRDefault="00BF2DE2" w:rsidP="0000156E">
          <w:pPr>
            <w:pStyle w:val="TOC1"/>
            <w:rPr>
              <w:rFonts w:asciiTheme="minorHAnsi" w:eastAsiaTheme="minorEastAsia" w:hAnsiTheme="minorHAnsi" w:cstheme="minorBidi"/>
              <w:sz w:val="22"/>
              <w:lang w:val="en-AU" w:eastAsia="en-AU" w:bidi="ar-SA"/>
            </w:rPr>
          </w:pPr>
          <w:r>
            <w:fldChar w:fldCharType="begin"/>
          </w:r>
          <w:r w:rsidR="00BE02AC">
            <w:instrText xml:space="preserve"> TOC \o "1-3" \h \z \u </w:instrText>
          </w:r>
          <w:r>
            <w:fldChar w:fldCharType="separate"/>
          </w:r>
          <w:hyperlink w:anchor="_Toc421177902" w:history="1">
            <w:r w:rsidR="000346BB" w:rsidRPr="0000156E">
              <w:rPr>
                <w:rStyle w:val="Hyperlink"/>
              </w:rPr>
              <w:t>Auditor-General Performance Audit</w:t>
            </w:r>
            <w:r w:rsidR="000346BB" w:rsidRPr="0000156E">
              <w:rPr>
                <w:webHidden/>
              </w:rPr>
              <w:tab/>
            </w:r>
            <w:r w:rsidRPr="0000156E">
              <w:rPr>
                <w:webHidden/>
              </w:rPr>
              <w:fldChar w:fldCharType="begin"/>
            </w:r>
            <w:r w:rsidR="000346BB" w:rsidRPr="0000156E">
              <w:rPr>
                <w:webHidden/>
              </w:rPr>
              <w:instrText xml:space="preserve"> PAGEREF _Toc421177902 \h </w:instrText>
            </w:r>
            <w:r w:rsidRPr="0000156E">
              <w:rPr>
                <w:webHidden/>
              </w:rPr>
            </w:r>
            <w:r w:rsidRPr="0000156E">
              <w:rPr>
                <w:webHidden/>
              </w:rPr>
              <w:fldChar w:fldCharType="separate"/>
            </w:r>
            <w:r w:rsidR="008F1CEA">
              <w:rPr>
                <w:webHidden/>
              </w:rPr>
              <w:t>4</w:t>
            </w:r>
            <w:r w:rsidRPr="0000156E">
              <w:rPr>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3" w:history="1">
            <w:r w:rsidR="000346BB" w:rsidRPr="00E81F59">
              <w:rPr>
                <w:rStyle w:val="Hyperlink"/>
                <w:noProof/>
              </w:rPr>
              <w:t>Conduct of Audit</w:t>
            </w:r>
            <w:r w:rsidR="000346BB">
              <w:rPr>
                <w:noProof/>
                <w:webHidden/>
              </w:rPr>
              <w:tab/>
            </w:r>
            <w:r w:rsidR="00BF2DE2">
              <w:rPr>
                <w:noProof/>
                <w:webHidden/>
              </w:rPr>
              <w:fldChar w:fldCharType="begin"/>
            </w:r>
            <w:r w:rsidR="000346BB">
              <w:rPr>
                <w:noProof/>
                <w:webHidden/>
              </w:rPr>
              <w:instrText xml:space="preserve"> PAGEREF _Toc421177903 \h </w:instrText>
            </w:r>
            <w:r w:rsidR="00BF2DE2">
              <w:rPr>
                <w:noProof/>
                <w:webHidden/>
              </w:rPr>
            </w:r>
            <w:r w:rsidR="00BF2DE2">
              <w:rPr>
                <w:noProof/>
                <w:webHidden/>
              </w:rPr>
              <w:fldChar w:fldCharType="separate"/>
            </w:r>
            <w:r w:rsidR="008F1CEA">
              <w:rPr>
                <w:noProof/>
                <w:webHidden/>
              </w:rPr>
              <w:t>4</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4" w:history="1">
            <w:r w:rsidR="000346BB" w:rsidRPr="00E81F59">
              <w:rPr>
                <w:rStyle w:val="Hyperlink"/>
                <w:noProof/>
              </w:rPr>
              <w:t>Preparation and Finalisation of Report</w:t>
            </w:r>
            <w:r w:rsidR="000346BB">
              <w:rPr>
                <w:noProof/>
                <w:webHidden/>
              </w:rPr>
              <w:tab/>
            </w:r>
            <w:r w:rsidR="00BF2DE2">
              <w:rPr>
                <w:noProof/>
                <w:webHidden/>
              </w:rPr>
              <w:fldChar w:fldCharType="begin"/>
            </w:r>
            <w:r w:rsidR="000346BB">
              <w:rPr>
                <w:noProof/>
                <w:webHidden/>
              </w:rPr>
              <w:instrText xml:space="preserve"> PAGEREF _Toc421177904 \h </w:instrText>
            </w:r>
            <w:r w:rsidR="00BF2DE2">
              <w:rPr>
                <w:noProof/>
                <w:webHidden/>
              </w:rPr>
            </w:r>
            <w:r w:rsidR="00BF2DE2">
              <w:rPr>
                <w:noProof/>
                <w:webHidden/>
              </w:rPr>
              <w:fldChar w:fldCharType="separate"/>
            </w:r>
            <w:r w:rsidR="008F1CEA">
              <w:rPr>
                <w:noProof/>
                <w:webHidden/>
              </w:rPr>
              <w:t>4</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5" w:history="1">
            <w:r w:rsidR="000346BB" w:rsidRPr="00E81F59">
              <w:rPr>
                <w:rStyle w:val="Hyperlink"/>
                <w:noProof/>
              </w:rPr>
              <w:t>Tabling of the Auditor-General’s report</w:t>
            </w:r>
            <w:r w:rsidR="000346BB">
              <w:rPr>
                <w:noProof/>
                <w:webHidden/>
              </w:rPr>
              <w:tab/>
            </w:r>
            <w:r w:rsidR="00BF2DE2">
              <w:rPr>
                <w:noProof/>
                <w:webHidden/>
              </w:rPr>
              <w:fldChar w:fldCharType="begin"/>
            </w:r>
            <w:r w:rsidR="000346BB">
              <w:rPr>
                <w:noProof/>
                <w:webHidden/>
              </w:rPr>
              <w:instrText xml:space="preserve"> PAGEREF _Toc421177905 \h </w:instrText>
            </w:r>
            <w:r w:rsidR="00BF2DE2">
              <w:rPr>
                <w:noProof/>
                <w:webHidden/>
              </w:rPr>
            </w:r>
            <w:r w:rsidR="00BF2DE2">
              <w:rPr>
                <w:noProof/>
                <w:webHidden/>
              </w:rPr>
              <w:fldChar w:fldCharType="separate"/>
            </w:r>
            <w:r w:rsidR="008F1CEA">
              <w:rPr>
                <w:noProof/>
                <w:webHidden/>
              </w:rPr>
              <w:t>4</w:t>
            </w:r>
            <w:r w:rsidR="00BF2DE2">
              <w:rPr>
                <w:noProof/>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06" w:history="1">
            <w:r w:rsidR="000346BB" w:rsidRPr="00E81F59">
              <w:rPr>
                <w:rStyle w:val="Hyperlink"/>
              </w:rPr>
              <w:t>Government Response to the Auditor-General’s Report</w:t>
            </w:r>
            <w:r w:rsidR="000346BB">
              <w:rPr>
                <w:webHidden/>
              </w:rPr>
              <w:tab/>
            </w:r>
            <w:r w:rsidR="00BF2DE2">
              <w:rPr>
                <w:webHidden/>
              </w:rPr>
              <w:fldChar w:fldCharType="begin"/>
            </w:r>
            <w:r w:rsidR="000346BB">
              <w:rPr>
                <w:webHidden/>
              </w:rPr>
              <w:instrText xml:space="preserve"> PAGEREF _Toc421177906 \h </w:instrText>
            </w:r>
            <w:r w:rsidR="00BF2DE2">
              <w:rPr>
                <w:webHidden/>
              </w:rPr>
            </w:r>
            <w:r w:rsidR="00BF2DE2">
              <w:rPr>
                <w:webHidden/>
              </w:rPr>
              <w:fldChar w:fldCharType="separate"/>
            </w:r>
            <w:r w:rsidR="008F1CEA">
              <w:rPr>
                <w:webHidden/>
              </w:rPr>
              <w:t>5</w:t>
            </w:r>
            <w:r w:rsidR="00BF2DE2">
              <w:rPr>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7" w:history="1">
            <w:r w:rsidR="000346BB" w:rsidRPr="00E81F59">
              <w:rPr>
                <w:rStyle w:val="Hyperlink"/>
                <w:noProof/>
              </w:rPr>
              <w:t>Preparation of Response</w:t>
            </w:r>
            <w:r w:rsidR="000346BB">
              <w:rPr>
                <w:noProof/>
                <w:webHidden/>
              </w:rPr>
              <w:tab/>
            </w:r>
            <w:r w:rsidR="00BF2DE2">
              <w:rPr>
                <w:noProof/>
                <w:webHidden/>
              </w:rPr>
              <w:fldChar w:fldCharType="begin"/>
            </w:r>
            <w:r w:rsidR="000346BB">
              <w:rPr>
                <w:noProof/>
                <w:webHidden/>
              </w:rPr>
              <w:instrText xml:space="preserve"> PAGEREF _Toc421177907 \h </w:instrText>
            </w:r>
            <w:r w:rsidR="00BF2DE2">
              <w:rPr>
                <w:noProof/>
                <w:webHidden/>
              </w:rPr>
            </w:r>
            <w:r w:rsidR="00BF2DE2">
              <w:rPr>
                <w:noProof/>
                <w:webHidden/>
              </w:rPr>
              <w:fldChar w:fldCharType="separate"/>
            </w:r>
            <w:r w:rsidR="008F1CEA">
              <w:rPr>
                <w:noProof/>
                <w:webHidden/>
              </w:rPr>
              <w:t>5</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8" w:history="1">
            <w:r w:rsidR="000346BB" w:rsidRPr="00E81F59">
              <w:rPr>
                <w:rStyle w:val="Hyperlink"/>
                <w:noProof/>
              </w:rPr>
              <w:t>Cabinet Approval</w:t>
            </w:r>
            <w:r w:rsidR="000346BB">
              <w:rPr>
                <w:noProof/>
                <w:webHidden/>
              </w:rPr>
              <w:tab/>
            </w:r>
            <w:r w:rsidR="00BF2DE2">
              <w:rPr>
                <w:noProof/>
                <w:webHidden/>
              </w:rPr>
              <w:fldChar w:fldCharType="begin"/>
            </w:r>
            <w:r w:rsidR="000346BB">
              <w:rPr>
                <w:noProof/>
                <w:webHidden/>
              </w:rPr>
              <w:instrText xml:space="preserve"> PAGEREF _Toc421177908 \h </w:instrText>
            </w:r>
            <w:r w:rsidR="00BF2DE2">
              <w:rPr>
                <w:noProof/>
                <w:webHidden/>
              </w:rPr>
            </w:r>
            <w:r w:rsidR="00BF2DE2">
              <w:rPr>
                <w:noProof/>
                <w:webHidden/>
              </w:rPr>
              <w:fldChar w:fldCharType="separate"/>
            </w:r>
            <w:r w:rsidR="008F1CEA">
              <w:rPr>
                <w:noProof/>
                <w:webHidden/>
              </w:rPr>
              <w:t>5</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09" w:history="1">
            <w:r w:rsidR="000346BB" w:rsidRPr="00E81F59">
              <w:rPr>
                <w:rStyle w:val="Hyperlink"/>
                <w:noProof/>
              </w:rPr>
              <w:t>Timeframe for Response</w:t>
            </w:r>
            <w:r w:rsidR="000346BB">
              <w:rPr>
                <w:noProof/>
                <w:webHidden/>
              </w:rPr>
              <w:tab/>
            </w:r>
            <w:r w:rsidR="00BF2DE2">
              <w:rPr>
                <w:noProof/>
                <w:webHidden/>
              </w:rPr>
              <w:fldChar w:fldCharType="begin"/>
            </w:r>
            <w:r w:rsidR="000346BB">
              <w:rPr>
                <w:noProof/>
                <w:webHidden/>
              </w:rPr>
              <w:instrText xml:space="preserve"> PAGEREF _Toc421177909 \h </w:instrText>
            </w:r>
            <w:r w:rsidR="00BF2DE2">
              <w:rPr>
                <w:noProof/>
                <w:webHidden/>
              </w:rPr>
            </w:r>
            <w:r w:rsidR="00BF2DE2">
              <w:rPr>
                <w:noProof/>
                <w:webHidden/>
              </w:rPr>
              <w:fldChar w:fldCharType="separate"/>
            </w:r>
            <w:r w:rsidR="008F1CEA">
              <w:rPr>
                <w:noProof/>
                <w:webHidden/>
              </w:rPr>
              <w:t>5</w:t>
            </w:r>
            <w:r w:rsidR="00BF2DE2">
              <w:rPr>
                <w:noProof/>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10" w:history="1">
            <w:r w:rsidR="000346BB" w:rsidRPr="00E81F59">
              <w:rPr>
                <w:rStyle w:val="Hyperlink"/>
              </w:rPr>
              <w:t>Public Accounts Committee Inquiry</w:t>
            </w:r>
            <w:r w:rsidR="000346BB">
              <w:rPr>
                <w:webHidden/>
              </w:rPr>
              <w:tab/>
            </w:r>
            <w:r w:rsidR="00BF2DE2">
              <w:rPr>
                <w:webHidden/>
              </w:rPr>
              <w:fldChar w:fldCharType="begin"/>
            </w:r>
            <w:r w:rsidR="000346BB">
              <w:rPr>
                <w:webHidden/>
              </w:rPr>
              <w:instrText xml:space="preserve"> PAGEREF _Toc421177910 \h </w:instrText>
            </w:r>
            <w:r w:rsidR="00BF2DE2">
              <w:rPr>
                <w:webHidden/>
              </w:rPr>
            </w:r>
            <w:r w:rsidR="00BF2DE2">
              <w:rPr>
                <w:webHidden/>
              </w:rPr>
              <w:fldChar w:fldCharType="separate"/>
            </w:r>
            <w:r w:rsidR="008F1CEA">
              <w:rPr>
                <w:webHidden/>
              </w:rPr>
              <w:t>6</w:t>
            </w:r>
            <w:r w:rsidR="00BF2DE2">
              <w:rPr>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1" w:history="1">
            <w:r w:rsidR="000346BB" w:rsidRPr="00E81F59">
              <w:rPr>
                <w:rStyle w:val="Hyperlink"/>
                <w:noProof/>
              </w:rPr>
              <w:t>Consideration of Auditor-General report</w:t>
            </w:r>
            <w:r w:rsidR="000346BB">
              <w:rPr>
                <w:noProof/>
                <w:webHidden/>
              </w:rPr>
              <w:tab/>
            </w:r>
            <w:r w:rsidR="00BF2DE2">
              <w:rPr>
                <w:noProof/>
                <w:webHidden/>
              </w:rPr>
              <w:fldChar w:fldCharType="begin"/>
            </w:r>
            <w:r w:rsidR="000346BB">
              <w:rPr>
                <w:noProof/>
                <w:webHidden/>
              </w:rPr>
              <w:instrText xml:space="preserve"> PAGEREF _Toc421177911 \h </w:instrText>
            </w:r>
            <w:r w:rsidR="00BF2DE2">
              <w:rPr>
                <w:noProof/>
                <w:webHidden/>
              </w:rPr>
            </w:r>
            <w:r w:rsidR="00BF2DE2">
              <w:rPr>
                <w:noProof/>
                <w:webHidden/>
              </w:rPr>
              <w:fldChar w:fldCharType="separate"/>
            </w:r>
            <w:r w:rsidR="008F1CEA">
              <w:rPr>
                <w:noProof/>
                <w:webHidden/>
              </w:rPr>
              <w:t>6</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2" w:history="1">
            <w:r w:rsidR="000346BB" w:rsidRPr="00E81F59">
              <w:rPr>
                <w:rStyle w:val="Hyperlink"/>
                <w:noProof/>
              </w:rPr>
              <w:t>Nil further inquiry into the audit report</w:t>
            </w:r>
            <w:r w:rsidR="000346BB">
              <w:rPr>
                <w:noProof/>
                <w:webHidden/>
              </w:rPr>
              <w:tab/>
            </w:r>
            <w:r w:rsidR="00BF2DE2">
              <w:rPr>
                <w:noProof/>
                <w:webHidden/>
              </w:rPr>
              <w:fldChar w:fldCharType="begin"/>
            </w:r>
            <w:r w:rsidR="000346BB">
              <w:rPr>
                <w:noProof/>
                <w:webHidden/>
              </w:rPr>
              <w:instrText xml:space="preserve"> PAGEREF _Toc421177912 \h </w:instrText>
            </w:r>
            <w:r w:rsidR="00BF2DE2">
              <w:rPr>
                <w:noProof/>
                <w:webHidden/>
              </w:rPr>
            </w:r>
            <w:r w:rsidR="00BF2DE2">
              <w:rPr>
                <w:noProof/>
                <w:webHidden/>
              </w:rPr>
              <w:fldChar w:fldCharType="separate"/>
            </w:r>
            <w:r w:rsidR="008F1CEA">
              <w:rPr>
                <w:noProof/>
                <w:webHidden/>
              </w:rPr>
              <w:t>6</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3" w:history="1">
            <w:r w:rsidR="000346BB" w:rsidRPr="00E81F59">
              <w:rPr>
                <w:rStyle w:val="Hyperlink"/>
                <w:noProof/>
              </w:rPr>
              <w:t>Further inquiry and report on the audit report</w:t>
            </w:r>
            <w:r w:rsidR="000346BB">
              <w:rPr>
                <w:noProof/>
                <w:webHidden/>
              </w:rPr>
              <w:tab/>
            </w:r>
            <w:r w:rsidR="00BF2DE2">
              <w:rPr>
                <w:noProof/>
                <w:webHidden/>
              </w:rPr>
              <w:fldChar w:fldCharType="begin"/>
            </w:r>
            <w:r w:rsidR="000346BB">
              <w:rPr>
                <w:noProof/>
                <w:webHidden/>
              </w:rPr>
              <w:instrText xml:space="preserve"> PAGEREF _Toc421177913 \h </w:instrText>
            </w:r>
            <w:r w:rsidR="00BF2DE2">
              <w:rPr>
                <w:noProof/>
                <w:webHidden/>
              </w:rPr>
            </w:r>
            <w:r w:rsidR="00BF2DE2">
              <w:rPr>
                <w:noProof/>
                <w:webHidden/>
              </w:rPr>
              <w:fldChar w:fldCharType="separate"/>
            </w:r>
            <w:r w:rsidR="008F1CEA">
              <w:rPr>
                <w:noProof/>
                <w:webHidden/>
              </w:rPr>
              <w:t>6</w:t>
            </w:r>
            <w:r w:rsidR="00BF2DE2">
              <w:rPr>
                <w:noProof/>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14" w:history="1">
            <w:r w:rsidR="000346BB" w:rsidRPr="00E81F59">
              <w:rPr>
                <w:rStyle w:val="Hyperlink"/>
              </w:rPr>
              <w:t>Government Response to the PAC’s Report</w:t>
            </w:r>
            <w:r w:rsidR="000346BB">
              <w:rPr>
                <w:webHidden/>
              </w:rPr>
              <w:tab/>
            </w:r>
            <w:r w:rsidR="00BF2DE2">
              <w:rPr>
                <w:webHidden/>
              </w:rPr>
              <w:fldChar w:fldCharType="begin"/>
            </w:r>
            <w:r w:rsidR="000346BB">
              <w:rPr>
                <w:webHidden/>
              </w:rPr>
              <w:instrText xml:space="preserve"> PAGEREF _Toc421177914 \h </w:instrText>
            </w:r>
            <w:r w:rsidR="00BF2DE2">
              <w:rPr>
                <w:webHidden/>
              </w:rPr>
            </w:r>
            <w:r w:rsidR="00BF2DE2">
              <w:rPr>
                <w:webHidden/>
              </w:rPr>
              <w:fldChar w:fldCharType="separate"/>
            </w:r>
            <w:r w:rsidR="008F1CEA">
              <w:rPr>
                <w:webHidden/>
              </w:rPr>
              <w:t>6</w:t>
            </w:r>
            <w:r w:rsidR="00BF2DE2">
              <w:rPr>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5" w:history="1">
            <w:r w:rsidR="000346BB" w:rsidRPr="00E81F59">
              <w:rPr>
                <w:rStyle w:val="Hyperlink"/>
                <w:noProof/>
              </w:rPr>
              <w:t>Preparation of Response</w:t>
            </w:r>
            <w:r w:rsidR="000346BB">
              <w:rPr>
                <w:noProof/>
                <w:webHidden/>
              </w:rPr>
              <w:tab/>
            </w:r>
            <w:r w:rsidR="00BF2DE2">
              <w:rPr>
                <w:noProof/>
                <w:webHidden/>
              </w:rPr>
              <w:fldChar w:fldCharType="begin"/>
            </w:r>
            <w:r w:rsidR="000346BB">
              <w:rPr>
                <w:noProof/>
                <w:webHidden/>
              </w:rPr>
              <w:instrText xml:space="preserve"> PAGEREF _Toc421177915 \h </w:instrText>
            </w:r>
            <w:r w:rsidR="00BF2DE2">
              <w:rPr>
                <w:noProof/>
                <w:webHidden/>
              </w:rPr>
            </w:r>
            <w:r w:rsidR="00BF2DE2">
              <w:rPr>
                <w:noProof/>
                <w:webHidden/>
              </w:rPr>
              <w:fldChar w:fldCharType="separate"/>
            </w:r>
            <w:r w:rsidR="008F1CEA">
              <w:rPr>
                <w:noProof/>
                <w:webHidden/>
              </w:rPr>
              <w:t>6</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6" w:history="1">
            <w:r w:rsidR="000346BB" w:rsidRPr="00E81F59">
              <w:rPr>
                <w:rStyle w:val="Hyperlink"/>
                <w:noProof/>
              </w:rPr>
              <w:t>Cabinet Approval</w:t>
            </w:r>
            <w:r w:rsidR="000346BB">
              <w:rPr>
                <w:noProof/>
                <w:webHidden/>
              </w:rPr>
              <w:tab/>
            </w:r>
            <w:r w:rsidR="00BF2DE2">
              <w:rPr>
                <w:noProof/>
                <w:webHidden/>
              </w:rPr>
              <w:fldChar w:fldCharType="begin"/>
            </w:r>
            <w:r w:rsidR="000346BB">
              <w:rPr>
                <w:noProof/>
                <w:webHidden/>
              </w:rPr>
              <w:instrText xml:space="preserve"> PAGEREF _Toc421177916 \h </w:instrText>
            </w:r>
            <w:r w:rsidR="00BF2DE2">
              <w:rPr>
                <w:noProof/>
                <w:webHidden/>
              </w:rPr>
            </w:r>
            <w:r w:rsidR="00BF2DE2">
              <w:rPr>
                <w:noProof/>
                <w:webHidden/>
              </w:rPr>
              <w:fldChar w:fldCharType="separate"/>
            </w:r>
            <w:r w:rsidR="008F1CEA">
              <w:rPr>
                <w:noProof/>
                <w:webHidden/>
              </w:rPr>
              <w:t>7</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7" w:history="1">
            <w:r w:rsidR="000346BB" w:rsidRPr="00E81F59">
              <w:rPr>
                <w:rStyle w:val="Hyperlink"/>
                <w:noProof/>
              </w:rPr>
              <w:t>Timeframe for Response</w:t>
            </w:r>
            <w:r w:rsidR="000346BB">
              <w:rPr>
                <w:noProof/>
                <w:webHidden/>
              </w:rPr>
              <w:tab/>
            </w:r>
            <w:r w:rsidR="00BF2DE2">
              <w:rPr>
                <w:noProof/>
                <w:webHidden/>
              </w:rPr>
              <w:fldChar w:fldCharType="begin"/>
            </w:r>
            <w:r w:rsidR="000346BB">
              <w:rPr>
                <w:noProof/>
                <w:webHidden/>
              </w:rPr>
              <w:instrText xml:space="preserve"> PAGEREF _Toc421177917 \h </w:instrText>
            </w:r>
            <w:r w:rsidR="00BF2DE2">
              <w:rPr>
                <w:noProof/>
                <w:webHidden/>
              </w:rPr>
            </w:r>
            <w:r w:rsidR="00BF2DE2">
              <w:rPr>
                <w:noProof/>
                <w:webHidden/>
              </w:rPr>
              <w:fldChar w:fldCharType="separate"/>
            </w:r>
            <w:r w:rsidR="008F1CEA">
              <w:rPr>
                <w:noProof/>
                <w:webHidden/>
              </w:rPr>
              <w:t>7</w:t>
            </w:r>
            <w:r w:rsidR="00BF2DE2">
              <w:rPr>
                <w:noProof/>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18" w:history="1">
            <w:r w:rsidR="000346BB" w:rsidRPr="00E81F59">
              <w:rPr>
                <w:rStyle w:val="Hyperlink"/>
              </w:rPr>
              <w:t>Implementation and Follow Up</w:t>
            </w:r>
            <w:r w:rsidR="000346BB">
              <w:rPr>
                <w:webHidden/>
              </w:rPr>
              <w:tab/>
            </w:r>
            <w:r w:rsidR="00BF2DE2">
              <w:rPr>
                <w:webHidden/>
              </w:rPr>
              <w:fldChar w:fldCharType="begin"/>
            </w:r>
            <w:r w:rsidR="000346BB">
              <w:rPr>
                <w:webHidden/>
              </w:rPr>
              <w:instrText xml:space="preserve"> PAGEREF _Toc421177918 \h </w:instrText>
            </w:r>
            <w:r w:rsidR="00BF2DE2">
              <w:rPr>
                <w:webHidden/>
              </w:rPr>
            </w:r>
            <w:r w:rsidR="00BF2DE2">
              <w:rPr>
                <w:webHidden/>
              </w:rPr>
              <w:fldChar w:fldCharType="separate"/>
            </w:r>
            <w:r w:rsidR="008F1CEA">
              <w:rPr>
                <w:webHidden/>
              </w:rPr>
              <w:t>7</w:t>
            </w:r>
            <w:r w:rsidR="00BF2DE2">
              <w:rPr>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19" w:history="1">
            <w:r w:rsidR="000346BB" w:rsidRPr="00E81F59">
              <w:rPr>
                <w:rStyle w:val="Hyperlink"/>
                <w:noProof/>
              </w:rPr>
              <w:t>Implementation Plans</w:t>
            </w:r>
            <w:r w:rsidR="000346BB">
              <w:rPr>
                <w:noProof/>
                <w:webHidden/>
              </w:rPr>
              <w:tab/>
            </w:r>
            <w:r w:rsidR="00BF2DE2">
              <w:rPr>
                <w:noProof/>
                <w:webHidden/>
              </w:rPr>
              <w:fldChar w:fldCharType="begin"/>
            </w:r>
            <w:r w:rsidR="000346BB">
              <w:rPr>
                <w:noProof/>
                <w:webHidden/>
              </w:rPr>
              <w:instrText xml:space="preserve"> PAGEREF _Toc421177919 \h </w:instrText>
            </w:r>
            <w:r w:rsidR="00BF2DE2">
              <w:rPr>
                <w:noProof/>
                <w:webHidden/>
              </w:rPr>
            </w:r>
            <w:r w:rsidR="00BF2DE2">
              <w:rPr>
                <w:noProof/>
                <w:webHidden/>
              </w:rPr>
              <w:fldChar w:fldCharType="separate"/>
            </w:r>
            <w:r w:rsidR="008F1CEA">
              <w:rPr>
                <w:noProof/>
                <w:webHidden/>
              </w:rPr>
              <w:t>7</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20" w:history="1">
            <w:r w:rsidR="000346BB" w:rsidRPr="00E81F59">
              <w:rPr>
                <w:rStyle w:val="Hyperlink"/>
                <w:noProof/>
              </w:rPr>
              <w:t>Implementation</w:t>
            </w:r>
            <w:r w:rsidR="000346BB">
              <w:rPr>
                <w:noProof/>
                <w:webHidden/>
              </w:rPr>
              <w:tab/>
            </w:r>
            <w:r w:rsidR="00BF2DE2">
              <w:rPr>
                <w:noProof/>
                <w:webHidden/>
              </w:rPr>
              <w:fldChar w:fldCharType="begin"/>
            </w:r>
            <w:r w:rsidR="000346BB">
              <w:rPr>
                <w:noProof/>
                <w:webHidden/>
              </w:rPr>
              <w:instrText xml:space="preserve"> PAGEREF _Toc421177920 \h </w:instrText>
            </w:r>
            <w:r w:rsidR="00BF2DE2">
              <w:rPr>
                <w:noProof/>
                <w:webHidden/>
              </w:rPr>
            </w:r>
            <w:r w:rsidR="00BF2DE2">
              <w:rPr>
                <w:noProof/>
                <w:webHidden/>
              </w:rPr>
              <w:fldChar w:fldCharType="separate"/>
            </w:r>
            <w:r w:rsidR="008F1CEA">
              <w:rPr>
                <w:noProof/>
                <w:webHidden/>
              </w:rPr>
              <w:t>7</w:t>
            </w:r>
            <w:r w:rsidR="00BF2DE2">
              <w:rPr>
                <w:noProof/>
                <w:webHidden/>
              </w:rPr>
              <w:fldChar w:fldCharType="end"/>
            </w:r>
          </w:hyperlink>
        </w:p>
        <w:p w:rsidR="000346BB" w:rsidRDefault="0024250B">
          <w:pPr>
            <w:pStyle w:val="TOC2"/>
            <w:tabs>
              <w:tab w:val="right" w:leader="dot" w:pos="9344"/>
            </w:tabs>
            <w:rPr>
              <w:rFonts w:asciiTheme="minorHAnsi" w:eastAsiaTheme="minorEastAsia" w:hAnsiTheme="minorHAnsi" w:cstheme="minorBidi"/>
              <w:noProof/>
              <w:sz w:val="22"/>
              <w:lang w:val="en-AU" w:eastAsia="en-AU" w:bidi="ar-SA"/>
            </w:rPr>
          </w:pPr>
          <w:hyperlink w:anchor="_Toc421177921" w:history="1">
            <w:r w:rsidR="000346BB" w:rsidRPr="00E81F59">
              <w:rPr>
                <w:rStyle w:val="Hyperlink"/>
                <w:noProof/>
              </w:rPr>
              <w:t>Review of reports by internal audit committees</w:t>
            </w:r>
            <w:r w:rsidR="000346BB">
              <w:rPr>
                <w:noProof/>
                <w:webHidden/>
              </w:rPr>
              <w:tab/>
            </w:r>
            <w:r w:rsidR="00BF2DE2">
              <w:rPr>
                <w:noProof/>
                <w:webHidden/>
              </w:rPr>
              <w:fldChar w:fldCharType="begin"/>
            </w:r>
            <w:r w:rsidR="000346BB">
              <w:rPr>
                <w:noProof/>
                <w:webHidden/>
              </w:rPr>
              <w:instrText xml:space="preserve"> PAGEREF _Toc421177921 \h </w:instrText>
            </w:r>
            <w:r w:rsidR="00BF2DE2">
              <w:rPr>
                <w:noProof/>
                <w:webHidden/>
              </w:rPr>
            </w:r>
            <w:r w:rsidR="00BF2DE2">
              <w:rPr>
                <w:noProof/>
                <w:webHidden/>
              </w:rPr>
              <w:fldChar w:fldCharType="separate"/>
            </w:r>
            <w:r w:rsidR="008F1CEA">
              <w:rPr>
                <w:noProof/>
                <w:webHidden/>
              </w:rPr>
              <w:t>8</w:t>
            </w:r>
            <w:r w:rsidR="00BF2DE2">
              <w:rPr>
                <w:noProof/>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22" w:history="1">
            <w:r w:rsidR="000346BB" w:rsidRPr="00E81F59">
              <w:rPr>
                <w:rStyle w:val="Hyperlink"/>
              </w:rPr>
              <w:t>Contact for Further Information</w:t>
            </w:r>
            <w:r w:rsidR="000346BB">
              <w:rPr>
                <w:webHidden/>
              </w:rPr>
              <w:tab/>
            </w:r>
            <w:r w:rsidR="00BF2DE2">
              <w:rPr>
                <w:webHidden/>
              </w:rPr>
              <w:fldChar w:fldCharType="begin"/>
            </w:r>
            <w:r w:rsidR="000346BB">
              <w:rPr>
                <w:webHidden/>
              </w:rPr>
              <w:instrText xml:space="preserve"> PAGEREF _Toc421177922 \h </w:instrText>
            </w:r>
            <w:r w:rsidR="00BF2DE2">
              <w:rPr>
                <w:webHidden/>
              </w:rPr>
            </w:r>
            <w:r w:rsidR="00BF2DE2">
              <w:rPr>
                <w:webHidden/>
              </w:rPr>
              <w:fldChar w:fldCharType="separate"/>
            </w:r>
            <w:r w:rsidR="008F1CEA">
              <w:rPr>
                <w:webHidden/>
              </w:rPr>
              <w:t>8</w:t>
            </w:r>
            <w:r w:rsidR="00BF2DE2">
              <w:rPr>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23" w:history="1">
            <w:r w:rsidR="000346BB" w:rsidRPr="00E81F59">
              <w:rPr>
                <w:rStyle w:val="Hyperlink"/>
              </w:rPr>
              <w:t>Appendix A: Responding to Recommendations</w:t>
            </w:r>
            <w:r w:rsidR="000346BB">
              <w:rPr>
                <w:webHidden/>
              </w:rPr>
              <w:tab/>
            </w:r>
            <w:r w:rsidR="00BF2DE2">
              <w:rPr>
                <w:webHidden/>
              </w:rPr>
              <w:fldChar w:fldCharType="begin"/>
            </w:r>
            <w:r w:rsidR="000346BB">
              <w:rPr>
                <w:webHidden/>
              </w:rPr>
              <w:instrText xml:space="preserve"> PAGEREF _Toc421177923 \h </w:instrText>
            </w:r>
            <w:r w:rsidR="00BF2DE2">
              <w:rPr>
                <w:webHidden/>
              </w:rPr>
            </w:r>
            <w:r w:rsidR="00BF2DE2">
              <w:rPr>
                <w:webHidden/>
              </w:rPr>
              <w:fldChar w:fldCharType="separate"/>
            </w:r>
            <w:r w:rsidR="008F1CEA">
              <w:rPr>
                <w:webHidden/>
              </w:rPr>
              <w:t>9</w:t>
            </w:r>
            <w:r w:rsidR="00BF2DE2">
              <w:rPr>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24" w:history="1">
            <w:r w:rsidR="000346BB" w:rsidRPr="00E81F59">
              <w:rPr>
                <w:rStyle w:val="Hyperlink"/>
              </w:rPr>
              <w:t>Appendix B: Format for the Government Response</w:t>
            </w:r>
            <w:r w:rsidR="000346BB">
              <w:rPr>
                <w:webHidden/>
              </w:rPr>
              <w:tab/>
            </w:r>
            <w:r w:rsidR="00BF2DE2">
              <w:rPr>
                <w:webHidden/>
              </w:rPr>
              <w:fldChar w:fldCharType="begin"/>
            </w:r>
            <w:r w:rsidR="000346BB">
              <w:rPr>
                <w:webHidden/>
              </w:rPr>
              <w:instrText xml:space="preserve"> PAGEREF _Toc421177924 \h </w:instrText>
            </w:r>
            <w:r w:rsidR="00BF2DE2">
              <w:rPr>
                <w:webHidden/>
              </w:rPr>
            </w:r>
            <w:r w:rsidR="00BF2DE2">
              <w:rPr>
                <w:webHidden/>
              </w:rPr>
              <w:fldChar w:fldCharType="separate"/>
            </w:r>
            <w:r w:rsidR="008F1CEA">
              <w:rPr>
                <w:webHidden/>
              </w:rPr>
              <w:t>10</w:t>
            </w:r>
            <w:r w:rsidR="00BF2DE2">
              <w:rPr>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25" w:history="1">
            <w:r w:rsidR="000346BB" w:rsidRPr="00E81F59">
              <w:rPr>
                <w:rStyle w:val="Hyperlink"/>
              </w:rPr>
              <w:t>Appendix C: Development of a Whole of Government Action Plan</w:t>
            </w:r>
            <w:r w:rsidR="000346BB">
              <w:rPr>
                <w:webHidden/>
              </w:rPr>
              <w:tab/>
            </w:r>
            <w:r w:rsidR="00BF2DE2">
              <w:rPr>
                <w:webHidden/>
              </w:rPr>
              <w:fldChar w:fldCharType="begin"/>
            </w:r>
            <w:r w:rsidR="000346BB">
              <w:rPr>
                <w:webHidden/>
              </w:rPr>
              <w:instrText xml:space="preserve"> PAGEREF _Toc421177925 \h </w:instrText>
            </w:r>
            <w:r w:rsidR="00BF2DE2">
              <w:rPr>
                <w:webHidden/>
              </w:rPr>
            </w:r>
            <w:r w:rsidR="00BF2DE2">
              <w:rPr>
                <w:webHidden/>
              </w:rPr>
              <w:fldChar w:fldCharType="separate"/>
            </w:r>
            <w:r w:rsidR="008F1CEA">
              <w:rPr>
                <w:webHidden/>
              </w:rPr>
              <w:t>12</w:t>
            </w:r>
            <w:r w:rsidR="00BF2DE2">
              <w:rPr>
                <w:webHidden/>
              </w:rPr>
              <w:fldChar w:fldCharType="end"/>
            </w:r>
          </w:hyperlink>
        </w:p>
        <w:p w:rsidR="000346BB" w:rsidRDefault="0024250B" w:rsidP="0000156E">
          <w:pPr>
            <w:pStyle w:val="TOC1"/>
            <w:rPr>
              <w:rFonts w:asciiTheme="minorHAnsi" w:eastAsiaTheme="minorEastAsia" w:hAnsiTheme="minorHAnsi" w:cstheme="minorBidi"/>
              <w:sz w:val="22"/>
              <w:lang w:val="en-AU" w:eastAsia="en-AU" w:bidi="ar-SA"/>
            </w:rPr>
          </w:pPr>
          <w:hyperlink w:anchor="_Toc421177926" w:history="1">
            <w:r w:rsidR="000346BB" w:rsidRPr="00E81F59">
              <w:rPr>
                <w:rStyle w:val="Hyperlink"/>
              </w:rPr>
              <w:t>Appendix D: Implementation and Monitoring of Agreed Recommendations</w:t>
            </w:r>
            <w:r w:rsidR="000346BB">
              <w:rPr>
                <w:webHidden/>
              </w:rPr>
              <w:tab/>
            </w:r>
            <w:r w:rsidR="00BF2DE2">
              <w:rPr>
                <w:webHidden/>
              </w:rPr>
              <w:fldChar w:fldCharType="begin"/>
            </w:r>
            <w:r w:rsidR="000346BB">
              <w:rPr>
                <w:webHidden/>
              </w:rPr>
              <w:instrText xml:space="preserve"> PAGEREF _Toc421177926 \h </w:instrText>
            </w:r>
            <w:r w:rsidR="00BF2DE2">
              <w:rPr>
                <w:webHidden/>
              </w:rPr>
            </w:r>
            <w:r w:rsidR="00BF2DE2">
              <w:rPr>
                <w:webHidden/>
              </w:rPr>
              <w:fldChar w:fldCharType="separate"/>
            </w:r>
            <w:r w:rsidR="008F1CEA">
              <w:rPr>
                <w:webHidden/>
              </w:rPr>
              <w:t>13</w:t>
            </w:r>
            <w:r w:rsidR="00BF2DE2">
              <w:rPr>
                <w:webHidden/>
              </w:rPr>
              <w:fldChar w:fldCharType="end"/>
            </w:r>
          </w:hyperlink>
        </w:p>
        <w:p w:rsidR="00BE02AC" w:rsidRDefault="00BF2DE2">
          <w:r>
            <w:fldChar w:fldCharType="end"/>
          </w:r>
        </w:p>
      </w:sdtContent>
    </w:sdt>
    <w:p w:rsidR="00482404" w:rsidRDefault="00482404">
      <w:pPr>
        <w:spacing w:after="0" w:line="240" w:lineRule="auto"/>
        <w:rPr>
          <w:b/>
          <w:bCs/>
          <w:sz w:val="28"/>
          <w:szCs w:val="28"/>
        </w:rPr>
      </w:pPr>
      <w:r>
        <w:br w:type="page"/>
      </w:r>
    </w:p>
    <w:p w:rsidR="00894B32" w:rsidRPr="00BE02AC" w:rsidRDefault="008E4767" w:rsidP="00BE02AC">
      <w:pPr>
        <w:pStyle w:val="Heading1"/>
        <w:rPr>
          <w:rStyle w:val="SubtleEmphasis"/>
        </w:rPr>
      </w:pPr>
      <w:bookmarkStart w:id="1" w:name="_Toc421177902"/>
      <w:r w:rsidRPr="00BE02AC">
        <w:lastRenderedPageBreak/>
        <w:t>Auditor-General</w:t>
      </w:r>
      <w:r w:rsidR="00E34A2D" w:rsidRPr="00BE02AC">
        <w:t xml:space="preserve"> </w:t>
      </w:r>
      <w:r w:rsidR="00B70099" w:rsidRPr="00BE02AC">
        <w:t xml:space="preserve">Performance </w:t>
      </w:r>
      <w:r w:rsidR="00E34A2D" w:rsidRPr="00BE02AC">
        <w:t>Audit</w:t>
      </w:r>
      <w:bookmarkEnd w:id="1"/>
    </w:p>
    <w:p w:rsidR="000B6313" w:rsidRPr="00B70099" w:rsidRDefault="000B6313" w:rsidP="008D078E">
      <w:pPr>
        <w:spacing w:before="120"/>
        <w:rPr>
          <w:i/>
        </w:rPr>
      </w:pPr>
      <w:r w:rsidRPr="001B7466">
        <w:t xml:space="preserve">A typical performance audit may involve various stages, and take an average of six to nine months for the Auditor-General’s Office to complete, depending on the complexity and scope of the audit.  More information on performance audits can be found on the </w:t>
      </w:r>
      <w:hyperlink r:id="rId10" w:history="1">
        <w:r w:rsidRPr="001B7466">
          <w:rPr>
            <w:rStyle w:val="Hyperlink"/>
          </w:rPr>
          <w:t>Auditor</w:t>
        </w:r>
        <w:r w:rsidRPr="001B7466">
          <w:rPr>
            <w:rStyle w:val="Hyperlink"/>
          </w:rPr>
          <w:noBreakHyphen/>
          <w:t>General’s website</w:t>
        </w:r>
      </w:hyperlink>
      <w:r w:rsidRPr="001B7466">
        <w:t xml:space="preserve"> including the annual performance audit program.</w:t>
      </w:r>
      <w:r w:rsidR="00A23619">
        <w:t xml:space="preserve"> </w:t>
      </w:r>
      <w:r w:rsidR="00A23619" w:rsidRPr="00350271">
        <w:rPr>
          <w:rStyle w:val="SubtleEmphasis"/>
          <w:lang w:val="en-AU"/>
        </w:rPr>
        <w:t xml:space="preserve">The functions and powers of the Auditor-General are outlined in the </w:t>
      </w:r>
      <w:hyperlink r:id="rId11" w:history="1">
        <w:r w:rsidR="00A23619" w:rsidRPr="00350271">
          <w:rPr>
            <w:rStyle w:val="Hyperlink"/>
            <w:szCs w:val="24"/>
            <w:lang w:val="en-AU"/>
          </w:rPr>
          <w:t>Auditor</w:t>
        </w:r>
        <w:r w:rsidR="00A23619" w:rsidRPr="00350271">
          <w:rPr>
            <w:rStyle w:val="Hyperlink"/>
            <w:szCs w:val="24"/>
            <w:lang w:val="en-AU"/>
          </w:rPr>
          <w:noBreakHyphen/>
          <w:t>General Act 1996</w:t>
        </w:r>
      </w:hyperlink>
      <w:r w:rsidR="00A23619" w:rsidRPr="00350271">
        <w:rPr>
          <w:rStyle w:val="SubtleEmphasis"/>
          <w:lang w:val="en-AU"/>
        </w:rPr>
        <w:t>.</w:t>
      </w:r>
    </w:p>
    <w:p w:rsidR="008E4767" w:rsidRPr="00482404" w:rsidRDefault="008E4767" w:rsidP="00482404">
      <w:pPr>
        <w:pStyle w:val="Heading2"/>
      </w:pPr>
      <w:bookmarkStart w:id="2" w:name="_Toc421177903"/>
      <w:r w:rsidRPr="00482404">
        <w:t>Conduct of Audit</w:t>
      </w:r>
      <w:bookmarkEnd w:id="2"/>
    </w:p>
    <w:p w:rsidR="006A2554" w:rsidRPr="001B7466" w:rsidRDefault="003A6BB4" w:rsidP="00E34A2D">
      <w:pPr>
        <w:pStyle w:val="ListParagraph"/>
        <w:numPr>
          <w:ilvl w:val="0"/>
          <w:numId w:val="4"/>
        </w:numPr>
        <w:spacing w:after="120"/>
        <w:contextualSpacing w:val="0"/>
      </w:pPr>
      <w:r w:rsidRPr="001B7466">
        <w:t xml:space="preserve">Once </w:t>
      </w:r>
      <w:r w:rsidR="00BE02AC">
        <w:t xml:space="preserve">the Auditor-General formally </w:t>
      </w:r>
      <w:r w:rsidR="00BE02AC" w:rsidRPr="001B7466">
        <w:t xml:space="preserve">commences </w:t>
      </w:r>
      <w:r w:rsidRPr="001B7466">
        <w:t>an audit</w:t>
      </w:r>
      <w:r w:rsidR="00235D8F" w:rsidRPr="001B7466">
        <w:t>,</w:t>
      </w:r>
      <w:r w:rsidR="00BE02AC">
        <w:t xml:space="preserve"> the Audit</w:t>
      </w:r>
      <w:r w:rsidR="00D34277">
        <w:t xml:space="preserve"> Office </w:t>
      </w:r>
      <w:r w:rsidR="00BE02AC">
        <w:t>make</w:t>
      </w:r>
      <w:r w:rsidR="00D34277">
        <w:t>s</w:t>
      </w:r>
      <w:r w:rsidR="00BE02AC">
        <w:t xml:space="preserve"> arrangements for communicating</w:t>
      </w:r>
      <w:r w:rsidR="00894B32" w:rsidRPr="001B7466">
        <w:t xml:space="preserve"> with relevant directora</w:t>
      </w:r>
      <w:r w:rsidR="00BE02AC">
        <w:t>tes, and for obtaining</w:t>
      </w:r>
      <w:r w:rsidR="00894B32" w:rsidRPr="001B7466">
        <w:t xml:space="preserve"> information and data.</w:t>
      </w:r>
    </w:p>
    <w:p w:rsidR="008E4767" w:rsidRPr="00350271" w:rsidRDefault="008E4767" w:rsidP="00E34A2D">
      <w:pPr>
        <w:pStyle w:val="ListParagraph"/>
        <w:numPr>
          <w:ilvl w:val="0"/>
          <w:numId w:val="4"/>
        </w:numPr>
        <w:spacing w:after="120"/>
        <w:contextualSpacing w:val="0"/>
        <w:rPr>
          <w:rStyle w:val="SubtleEmphasis"/>
          <w:i/>
          <w:lang w:val="en-AU"/>
        </w:rPr>
      </w:pPr>
      <w:r w:rsidRPr="00350271">
        <w:rPr>
          <w:rStyle w:val="SubtleEmphasis"/>
          <w:lang w:val="en-AU"/>
        </w:rPr>
        <w:t xml:space="preserve">Each directorate should nominate a senior point of contact to lead a coordinated engagement for </w:t>
      </w:r>
      <w:r w:rsidR="00D34277">
        <w:rPr>
          <w:rStyle w:val="SubtleEmphasis"/>
          <w:lang w:val="en-AU"/>
        </w:rPr>
        <w:t>a given</w:t>
      </w:r>
      <w:r w:rsidRPr="00350271">
        <w:rPr>
          <w:rStyle w:val="SubtleEmphasis"/>
          <w:lang w:val="en-AU"/>
        </w:rPr>
        <w:t xml:space="preserve"> audit. This ensures consistency of approach and eliminates the prospect of duplication where more than one area is working to obtain or produce the same or similar information</w:t>
      </w:r>
      <w:r w:rsidRPr="00350271">
        <w:rPr>
          <w:rStyle w:val="SubtleEmphasis"/>
          <w:i/>
          <w:lang w:val="en-AU"/>
        </w:rPr>
        <w:t xml:space="preserve">. </w:t>
      </w:r>
    </w:p>
    <w:p w:rsidR="008E4767" w:rsidRPr="00F06F24" w:rsidRDefault="008E4767" w:rsidP="00482404">
      <w:pPr>
        <w:pStyle w:val="Heading2"/>
      </w:pPr>
      <w:bookmarkStart w:id="3" w:name="_Toc421177904"/>
      <w:r>
        <w:t>Preparation and Finalisation of R</w:t>
      </w:r>
      <w:r w:rsidRPr="00F06F24">
        <w:t>eport</w:t>
      </w:r>
      <w:bookmarkEnd w:id="3"/>
    </w:p>
    <w:p w:rsidR="00A23619" w:rsidRDefault="00235D8F" w:rsidP="00D4606D">
      <w:pPr>
        <w:pStyle w:val="ListParagraph"/>
        <w:numPr>
          <w:ilvl w:val="0"/>
          <w:numId w:val="4"/>
        </w:numPr>
        <w:ind w:left="357" w:hanging="357"/>
        <w:contextualSpacing w:val="0"/>
      </w:pPr>
      <w:r w:rsidRPr="00F06F24">
        <w:t xml:space="preserve">Before </w:t>
      </w:r>
      <w:r w:rsidR="00A23619">
        <w:t>presenting a</w:t>
      </w:r>
      <w:r w:rsidRPr="00F06F24">
        <w:t xml:space="preserve"> report</w:t>
      </w:r>
      <w:r w:rsidR="00A23619">
        <w:t xml:space="preserve"> to the Speaker</w:t>
      </w:r>
      <w:r w:rsidRPr="00F06F24">
        <w:t>,</w:t>
      </w:r>
      <w:r w:rsidR="00A23619">
        <w:t xml:space="preserve"> the Auditor-General consults with relevant directorate/s on a</w:t>
      </w:r>
      <w:r w:rsidRPr="00F06F24">
        <w:t xml:space="preserve"> </w:t>
      </w:r>
      <w:r w:rsidR="00CC34B7">
        <w:t>proposed</w:t>
      </w:r>
      <w:r w:rsidR="00D34277">
        <w:t xml:space="preserve"> report</w:t>
      </w:r>
      <w:r w:rsidR="00A23619">
        <w:t xml:space="preserve"> in two stages:</w:t>
      </w:r>
    </w:p>
    <w:p w:rsidR="00A23619" w:rsidRDefault="00A23619" w:rsidP="00A23619">
      <w:pPr>
        <w:pStyle w:val="ListParagraph"/>
        <w:numPr>
          <w:ilvl w:val="1"/>
          <w:numId w:val="4"/>
        </w:numPr>
        <w:contextualSpacing w:val="0"/>
      </w:pPr>
      <w:r>
        <w:t>Firstly, the Auditor-General provides a draft proposed report,</w:t>
      </w:r>
      <w:r w:rsidR="00235D8F" w:rsidRPr="00F06F24">
        <w:t xml:space="preserve"> </w:t>
      </w:r>
      <w:r>
        <w:t>which may contain recommendations.</w:t>
      </w:r>
      <w:r w:rsidR="00235D8F" w:rsidRPr="00F06F24">
        <w:t xml:space="preserve"> </w:t>
      </w:r>
      <w:r>
        <w:t>Directorate responses to the draft proposed report should be focused on correcting factual inaccuracies, providing additional information where necessary and clarifying misinterpretations.</w:t>
      </w:r>
    </w:p>
    <w:p w:rsidR="00235D8F" w:rsidRPr="00F06F24" w:rsidRDefault="00A23619" w:rsidP="00A23619">
      <w:pPr>
        <w:pStyle w:val="ListParagraph"/>
        <w:numPr>
          <w:ilvl w:val="1"/>
          <w:numId w:val="4"/>
        </w:numPr>
        <w:contextualSpacing w:val="0"/>
      </w:pPr>
      <w:r>
        <w:t>Secondly, the Auditor-General provides a final proposed report, which may contain recommendations. Management responses</w:t>
      </w:r>
      <w:r w:rsidR="00963B9C">
        <w:t xml:space="preserve"> may include comments for inclusion in the final report. </w:t>
      </w:r>
      <w:r w:rsidR="00D34277">
        <w:t>A</w:t>
      </w:r>
      <w:r w:rsidR="00963B9C">
        <w:t xml:space="preserve">ny further issues for </w:t>
      </w:r>
      <w:r w:rsidR="00D34277">
        <w:t xml:space="preserve">the Auditor-General’s </w:t>
      </w:r>
      <w:r w:rsidR="00963B9C">
        <w:t xml:space="preserve">consideration should be </w:t>
      </w:r>
      <w:r w:rsidR="00D34277">
        <w:t>raised at this stage</w:t>
      </w:r>
      <w:r w:rsidR="00963B9C">
        <w:t>.</w:t>
      </w:r>
    </w:p>
    <w:p w:rsidR="00235D8F" w:rsidRPr="00F06F24" w:rsidRDefault="00963B9C" w:rsidP="00963B9C">
      <w:pPr>
        <w:pStyle w:val="ListParagraph"/>
        <w:numPr>
          <w:ilvl w:val="0"/>
          <w:numId w:val="4"/>
        </w:numPr>
        <w:contextualSpacing w:val="0"/>
      </w:pPr>
      <w:r>
        <w:t>Before providing responses at either stage</w:t>
      </w:r>
      <w:r w:rsidR="00235D8F" w:rsidRPr="00F06F24">
        <w:t xml:space="preserve">, directorates must brief </w:t>
      </w:r>
      <w:r>
        <w:t xml:space="preserve">the </w:t>
      </w:r>
      <w:r w:rsidR="00235D8F" w:rsidRPr="00F06F24">
        <w:t>relevant minister</w:t>
      </w:r>
      <w:r>
        <w:t>/</w:t>
      </w:r>
      <w:r w:rsidR="00235D8F" w:rsidRPr="00F06F24">
        <w:t xml:space="preserve">s on the content </w:t>
      </w:r>
      <w:r>
        <w:t>of the audit report, including</w:t>
      </w:r>
      <w:r w:rsidR="00CC34B7">
        <w:t xml:space="preserve"> any recommendations, and propose a</w:t>
      </w:r>
      <w:r>
        <w:t xml:space="preserve"> </w:t>
      </w:r>
      <w:r w:rsidR="00235D8F" w:rsidRPr="00F06F24">
        <w:t>response to the Auditor-General. O</w:t>
      </w:r>
      <w:r>
        <w:t>n no account should a directorate</w:t>
      </w:r>
      <w:r w:rsidR="00235D8F" w:rsidRPr="00F06F24">
        <w:t xml:space="preserve"> response</w:t>
      </w:r>
      <w:r>
        <w:t>, at either stage,</w:t>
      </w:r>
      <w:r w:rsidR="00235D8F" w:rsidRPr="00F06F24">
        <w:t xml:space="preserve"> commit the </w:t>
      </w:r>
      <w:r w:rsidR="00C247AD" w:rsidRPr="00F06F24">
        <w:t>g</w:t>
      </w:r>
      <w:r w:rsidR="00235D8F" w:rsidRPr="00F06F24">
        <w:t>overnment to a course of action.</w:t>
      </w:r>
    </w:p>
    <w:p w:rsidR="00113E40" w:rsidRPr="00F06F24" w:rsidRDefault="008E4767" w:rsidP="00482404">
      <w:pPr>
        <w:pStyle w:val="Heading2"/>
      </w:pPr>
      <w:bookmarkStart w:id="4" w:name="_Toc421177905"/>
      <w:r>
        <w:t xml:space="preserve">Tabling of </w:t>
      </w:r>
      <w:r w:rsidR="00133210">
        <w:t xml:space="preserve">the </w:t>
      </w:r>
      <w:r w:rsidR="00113E40" w:rsidRPr="00F06F24">
        <w:t>Auditor-General</w:t>
      </w:r>
      <w:r w:rsidR="00133210">
        <w:t>’s</w:t>
      </w:r>
      <w:r w:rsidR="00113E40" w:rsidRPr="00F06F24">
        <w:t xml:space="preserve"> report</w:t>
      </w:r>
      <w:bookmarkEnd w:id="4"/>
    </w:p>
    <w:p w:rsidR="00235D8F" w:rsidRPr="00F06F24" w:rsidRDefault="00963B9C" w:rsidP="00D4606D">
      <w:pPr>
        <w:pStyle w:val="ListParagraph"/>
        <w:numPr>
          <w:ilvl w:val="0"/>
          <w:numId w:val="4"/>
        </w:numPr>
        <w:ind w:left="357" w:hanging="357"/>
        <w:contextualSpacing w:val="0"/>
        <w:rPr>
          <w:rStyle w:val="SubtleEmphasis"/>
          <w:lang w:val="en-AU"/>
        </w:rPr>
      </w:pPr>
      <w:r>
        <w:rPr>
          <w:rStyle w:val="SubtleEmphasis"/>
          <w:lang w:val="en-AU"/>
        </w:rPr>
        <w:t>Once an audit report is finalised, including any comments received from directorates, the Auditor-General forwards the</w:t>
      </w:r>
      <w:r w:rsidR="00816819" w:rsidRPr="00F06F24">
        <w:rPr>
          <w:rStyle w:val="SubtleEmphasis"/>
          <w:lang w:val="en-AU"/>
        </w:rPr>
        <w:t xml:space="preserve"> report to</w:t>
      </w:r>
      <w:r w:rsidR="00AE300C">
        <w:rPr>
          <w:rStyle w:val="SubtleEmphasis"/>
          <w:lang w:val="en-AU"/>
        </w:rPr>
        <w:t xml:space="preserve"> the Speaker of the </w:t>
      </w:r>
      <w:r w:rsidR="00235D8F" w:rsidRPr="00F06F24">
        <w:rPr>
          <w:rStyle w:val="SubtleEmphasis"/>
          <w:lang w:val="en-AU"/>
        </w:rPr>
        <w:t>Legislative</w:t>
      </w:r>
      <w:r w:rsidR="00816819" w:rsidRPr="00F06F24">
        <w:rPr>
          <w:rStyle w:val="SubtleEmphasis"/>
          <w:lang w:val="en-AU"/>
        </w:rPr>
        <w:t> </w:t>
      </w:r>
      <w:r w:rsidR="00235D8F" w:rsidRPr="00F06F24">
        <w:rPr>
          <w:rStyle w:val="SubtleEmphasis"/>
          <w:lang w:val="en-AU"/>
        </w:rPr>
        <w:t>Asse</w:t>
      </w:r>
      <w:r>
        <w:rPr>
          <w:rStyle w:val="SubtleEmphasis"/>
          <w:lang w:val="en-AU"/>
        </w:rPr>
        <w:t>mbly</w:t>
      </w:r>
      <w:r w:rsidR="00235D8F" w:rsidRPr="00F06F24">
        <w:rPr>
          <w:rStyle w:val="SubtleEmphasis"/>
          <w:lang w:val="en-AU"/>
        </w:rPr>
        <w:t>.</w:t>
      </w:r>
      <w:r w:rsidR="00D83189">
        <w:rPr>
          <w:rStyle w:val="SubtleEmphasis"/>
          <w:lang w:val="en-AU"/>
        </w:rPr>
        <w:t xml:space="preserve"> A</w:t>
      </w:r>
      <w:r>
        <w:rPr>
          <w:rStyle w:val="SubtleEmphasis"/>
          <w:lang w:val="en-AU"/>
        </w:rPr>
        <w:t>n audit report is deemed to have been presented to the Assembly upon provision to the Speaker</w:t>
      </w:r>
      <w:r w:rsidR="00D83189">
        <w:rPr>
          <w:rStyle w:val="SubtleEmphasis"/>
          <w:lang w:val="en-AU"/>
        </w:rPr>
        <w:t xml:space="preserve">, under the </w:t>
      </w:r>
      <w:r w:rsidR="00D83189" w:rsidRPr="00D83189">
        <w:rPr>
          <w:rStyle w:val="SubtleEmphasis"/>
          <w:i/>
          <w:lang w:val="en-AU"/>
        </w:rPr>
        <w:t>Auditor-General Act 1996</w:t>
      </w:r>
      <w:r w:rsidR="00D83189">
        <w:rPr>
          <w:rStyle w:val="SubtleEmphasis"/>
          <w:lang w:val="en-AU"/>
        </w:rPr>
        <w:t>, but</w:t>
      </w:r>
      <w:r>
        <w:rPr>
          <w:rStyle w:val="SubtleEmphasis"/>
          <w:lang w:val="en-AU"/>
        </w:rPr>
        <w:t xml:space="preserve"> is </w:t>
      </w:r>
      <w:r w:rsidR="00D83189">
        <w:rPr>
          <w:rStyle w:val="SubtleEmphasis"/>
          <w:lang w:val="en-AU"/>
        </w:rPr>
        <w:t xml:space="preserve">also </w:t>
      </w:r>
      <w:r>
        <w:rPr>
          <w:rStyle w:val="SubtleEmphasis"/>
          <w:lang w:val="en-AU"/>
        </w:rPr>
        <w:t xml:space="preserve">tabled by </w:t>
      </w:r>
      <w:r w:rsidR="00D83189">
        <w:rPr>
          <w:rStyle w:val="SubtleEmphasis"/>
          <w:lang w:val="en-AU"/>
        </w:rPr>
        <w:t xml:space="preserve">the Speaker </w:t>
      </w:r>
      <w:r>
        <w:rPr>
          <w:rStyle w:val="SubtleEmphasis"/>
          <w:lang w:val="en-AU"/>
        </w:rPr>
        <w:t>at the next sitting.</w:t>
      </w:r>
    </w:p>
    <w:p w:rsidR="00AE300C" w:rsidRDefault="00AE300C" w:rsidP="00AE300C">
      <w:pPr>
        <w:pStyle w:val="ListParagraph"/>
        <w:numPr>
          <w:ilvl w:val="0"/>
          <w:numId w:val="4"/>
        </w:numPr>
        <w:contextualSpacing w:val="0"/>
      </w:pPr>
      <w:r>
        <w:t>A</w:t>
      </w:r>
      <w:r w:rsidR="00D83189">
        <w:t xml:space="preserve">n </w:t>
      </w:r>
      <w:r>
        <w:t>audit report</w:t>
      </w:r>
      <w:r w:rsidRPr="00F06F24">
        <w:t xml:space="preserve"> is </w:t>
      </w:r>
      <w:r w:rsidR="00CC34B7">
        <w:t>immediately</w:t>
      </w:r>
      <w:r w:rsidRPr="00F06F24">
        <w:t xml:space="preserve"> referred to the Standing Commi</w:t>
      </w:r>
      <w:r w:rsidR="00D83189">
        <w:t>ttee on Public Accounts (PAC), for inquiry and report, upon presentation to the Speaker</w:t>
      </w:r>
      <w:r w:rsidRPr="00F06F24">
        <w:t>.</w:t>
      </w:r>
    </w:p>
    <w:p w:rsidR="008E4767" w:rsidRPr="009E46FE" w:rsidRDefault="008E4767" w:rsidP="00BE02AC">
      <w:pPr>
        <w:pStyle w:val="Heading1"/>
        <w:rPr>
          <w:rStyle w:val="SubtleEmphasis"/>
        </w:rPr>
      </w:pPr>
      <w:bookmarkStart w:id="5" w:name="_Toc421177906"/>
      <w:r>
        <w:lastRenderedPageBreak/>
        <w:t>Government</w:t>
      </w:r>
      <w:r w:rsidR="00E34A2D">
        <w:t xml:space="preserve"> Response</w:t>
      </w:r>
      <w:r w:rsidR="008D078E">
        <w:t xml:space="preserve"> to the Auditor-General’s Report</w:t>
      </w:r>
      <w:bookmarkEnd w:id="5"/>
    </w:p>
    <w:p w:rsidR="008E4767" w:rsidRPr="00756B04" w:rsidRDefault="008E4767" w:rsidP="00482404">
      <w:pPr>
        <w:pStyle w:val="Heading2"/>
      </w:pPr>
      <w:bookmarkStart w:id="6" w:name="_Toc421177907"/>
      <w:r w:rsidRPr="00756B04">
        <w:t>Preparation of Response</w:t>
      </w:r>
      <w:bookmarkEnd w:id="6"/>
    </w:p>
    <w:p w:rsidR="00A91A8E" w:rsidRPr="00A91A8E" w:rsidRDefault="00A91A8E" w:rsidP="00CE40CB">
      <w:pPr>
        <w:pStyle w:val="ListParagraph"/>
        <w:numPr>
          <w:ilvl w:val="0"/>
          <w:numId w:val="4"/>
        </w:numPr>
        <w:spacing w:after="120"/>
        <w:ind w:hanging="357"/>
        <w:contextualSpacing w:val="0"/>
        <w:rPr>
          <w:szCs w:val="24"/>
        </w:rPr>
      </w:pPr>
      <w:r w:rsidRPr="00A91A8E">
        <w:rPr>
          <w:szCs w:val="24"/>
          <w:lang w:val="en-AU"/>
        </w:rPr>
        <w:t>The</w:t>
      </w:r>
      <w:r>
        <w:rPr>
          <w:szCs w:val="24"/>
          <w:lang w:val="en-AU"/>
        </w:rPr>
        <w:t>se Guidelines are intended to facilitate</w:t>
      </w:r>
      <w:r w:rsidRPr="00A91A8E">
        <w:rPr>
          <w:szCs w:val="24"/>
          <w:lang w:val="en-AU"/>
        </w:rPr>
        <w:t xml:space="preserve"> timely and thorough consideration of, and response to, recommendations made by the Auditor-General.</w:t>
      </w:r>
    </w:p>
    <w:p w:rsidR="00CE40CB" w:rsidRPr="00756B04" w:rsidRDefault="00113E40" w:rsidP="00CE40CB">
      <w:pPr>
        <w:pStyle w:val="ListParagraph"/>
        <w:numPr>
          <w:ilvl w:val="0"/>
          <w:numId w:val="4"/>
        </w:numPr>
        <w:spacing w:after="120"/>
        <w:ind w:hanging="357"/>
        <w:contextualSpacing w:val="0"/>
      </w:pPr>
      <w:r w:rsidRPr="00756B04">
        <w:t xml:space="preserve">The Government’s response should clearly articulate the government’s position in relation to each recommendation/finding. </w:t>
      </w:r>
      <w:r w:rsidR="00A91A8E">
        <w:t>Detailed guidance for assessing individual</w:t>
      </w:r>
      <w:r w:rsidRPr="00756B04">
        <w:t xml:space="preserve"> recommendatio</w:t>
      </w:r>
      <w:r w:rsidR="00A91A8E">
        <w:t xml:space="preserve">ns/findings is provided at </w:t>
      </w:r>
      <w:r w:rsidR="005829D7" w:rsidRPr="005829D7">
        <w:rPr>
          <w:u w:val="single"/>
        </w:rPr>
        <w:t>Appendix A</w:t>
      </w:r>
      <w:r w:rsidRPr="00756B04">
        <w:t>.</w:t>
      </w:r>
      <w:r w:rsidR="00E459CC">
        <w:t xml:space="preserve"> An example format for the Government response is provided at </w:t>
      </w:r>
      <w:r w:rsidR="00E459CC" w:rsidRPr="00AD3593">
        <w:rPr>
          <w:u w:val="single"/>
        </w:rPr>
        <w:t>A</w:t>
      </w:r>
      <w:r w:rsidR="00E459CC">
        <w:rPr>
          <w:u w:val="single"/>
        </w:rPr>
        <w:t>ppendix</w:t>
      </w:r>
      <w:r w:rsidR="00E459CC" w:rsidRPr="00AD3593">
        <w:rPr>
          <w:u w:val="single"/>
        </w:rPr>
        <w:t xml:space="preserve"> B</w:t>
      </w:r>
      <w:r w:rsidR="00E459CC">
        <w:t>.</w:t>
      </w:r>
    </w:p>
    <w:p w:rsidR="000B6313" w:rsidRPr="00F06F24" w:rsidRDefault="000B6313" w:rsidP="00482404">
      <w:pPr>
        <w:pStyle w:val="Heading2"/>
      </w:pPr>
      <w:bookmarkStart w:id="7" w:name="_Toc421177908"/>
      <w:r>
        <w:t>Cabinet Approval</w:t>
      </w:r>
      <w:bookmarkEnd w:id="7"/>
    </w:p>
    <w:p w:rsidR="00133210" w:rsidRDefault="000B6313" w:rsidP="000B6313">
      <w:pPr>
        <w:pStyle w:val="ListParagraph"/>
        <w:numPr>
          <w:ilvl w:val="0"/>
          <w:numId w:val="4"/>
        </w:numPr>
        <w:ind w:left="357" w:hanging="357"/>
        <w:contextualSpacing w:val="0"/>
      </w:pPr>
      <w:r>
        <w:t>A</w:t>
      </w:r>
      <w:r w:rsidRPr="00F06F24">
        <w:t xml:space="preserve"> Cabinet submission </w:t>
      </w:r>
      <w:r>
        <w:t>proposing</w:t>
      </w:r>
      <w:r w:rsidRPr="00F06F24">
        <w:t xml:space="preserve"> </w:t>
      </w:r>
      <w:r>
        <w:t xml:space="preserve">and seeking approval to </w:t>
      </w:r>
      <w:r w:rsidRPr="00F06F24">
        <w:t xml:space="preserve">a </w:t>
      </w:r>
      <w:r w:rsidR="004115F2">
        <w:t>G</w:t>
      </w:r>
      <w:r>
        <w:t xml:space="preserve">overnment </w:t>
      </w:r>
      <w:r w:rsidR="004115F2">
        <w:t>R</w:t>
      </w:r>
      <w:r>
        <w:t>esponse</w:t>
      </w:r>
      <w:r w:rsidR="00D34277">
        <w:t xml:space="preserve"> to an Auditor-General’s report</w:t>
      </w:r>
      <w:r>
        <w:t xml:space="preserve"> must </w:t>
      </w:r>
      <w:r w:rsidRPr="00F06F24">
        <w:t xml:space="preserve">be </w:t>
      </w:r>
      <w:r w:rsidR="00E248DB">
        <w:t xml:space="preserve">prepared and circulated </w:t>
      </w:r>
      <w:r w:rsidRPr="00F06F24">
        <w:t xml:space="preserve">in accordance with the </w:t>
      </w:r>
      <w:hyperlink r:id="rId12" w:history="1">
        <w:r w:rsidRPr="00F06F24">
          <w:rPr>
            <w:rStyle w:val="Hyperlink"/>
          </w:rPr>
          <w:t>Cabinet Handbook</w:t>
        </w:r>
      </w:hyperlink>
      <w:r w:rsidR="00E248DB">
        <w:t xml:space="preserve"> and </w:t>
      </w:r>
      <w:hyperlink r:id="rId13" w:history="1">
        <w:r w:rsidR="00E248DB" w:rsidRPr="00A91A8E">
          <w:rPr>
            <w:rStyle w:val="Hyperlink"/>
          </w:rPr>
          <w:t>Cabinet Paper Draftin</w:t>
        </w:r>
        <w:r w:rsidR="00A91A8E" w:rsidRPr="00A91A8E">
          <w:rPr>
            <w:rStyle w:val="Hyperlink"/>
          </w:rPr>
          <w:t>g Guide</w:t>
        </w:r>
      </w:hyperlink>
      <w:r w:rsidRPr="00A91A8E">
        <w:t>.</w:t>
      </w:r>
    </w:p>
    <w:p w:rsidR="005905D3" w:rsidRDefault="005905D3" w:rsidP="000B6313">
      <w:pPr>
        <w:pStyle w:val="ListParagraph"/>
        <w:numPr>
          <w:ilvl w:val="0"/>
          <w:numId w:val="4"/>
        </w:numPr>
        <w:ind w:left="357" w:hanging="357"/>
        <w:contextualSpacing w:val="0"/>
      </w:pPr>
      <w:r>
        <w:t xml:space="preserve">The Cabinet Submission should summarise the main recommendations </w:t>
      </w:r>
      <w:r w:rsidR="00E248DB">
        <w:t>and findings of the Auditor</w:t>
      </w:r>
      <w:r w:rsidR="00E248DB">
        <w:noBreakHyphen/>
        <w:t>General</w:t>
      </w:r>
      <w:r w:rsidR="00D34277">
        <w:t>’s report</w:t>
      </w:r>
      <w:r w:rsidR="00E248DB">
        <w:t>. While the Cabinet Submission should not replicate detailed information from the Government Response, it should include sufficient detail to support proposed positions. Particular attention should be paid to any recommendations/findings that are not proposed to be supported.</w:t>
      </w:r>
    </w:p>
    <w:p w:rsidR="00133210" w:rsidRPr="004115F2" w:rsidRDefault="000B6313" w:rsidP="00133210">
      <w:pPr>
        <w:pStyle w:val="ListParagraph"/>
        <w:numPr>
          <w:ilvl w:val="0"/>
          <w:numId w:val="4"/>
        </w:numPr>
        <w:contextualSpacing w:val="0"/>
        <w:rPr>
          <w:i/>
        </w:rPr>
      </w:pPr>
      <w:r w:rsidRPr="004A007A">
        <w:t xml:space="preserve">The Cabinet Submission must include a </w:t>
      </w:r>
      <w:r w:rsidR="00427977" w:rsidRPr="004A007A">
        <w:t>W</w:t>
      </w:r>
      <w:r w:rsidRPr="004A007A">
        <w:t xml:space="preserve">hole of </w:t>
      </w:r>
      <w:r w:rsidR="00427977" w:rsidRPr="004A007A">
        <w:t>G</w:t>
      </w:r>
      <w:r w:rsidRPr="004A007A">
        <w:t xml:space="preserve">overnment </w:t>
      </w:r>
      <w:r w:rsidR="00427977" w:rsidRPr="004A007A">
        <w:t>Action Plan</w:t>
      </w:r>
      <w:r w:rsidR="00E57565" w:rsidRPr="004A007A">
        <w:t xml:space="preserve"> (</w:t>
      </w:r>
      <w:r w:rsidR="00E57565" w:rsidRPr="004A007A">
        <w:rPr>
          <w:u w:val="single"/>
        </w:rPr>
        <w:t>Appendix C</w:t>
      </w:r>
      <w:r w:rsidR="00E57565" w:rsidRPr="004A007A">
        <w:t>)</w:t>
      </w:r>
      <w:r w:rsidR="00133210" w:rsidRPr="004A007A">
        <w:t>,</w:t>
      </w:r>
      <w:r w:rsidR="00133210" w:rsidRPr="00921AF6">
        <w:t xml:space="preserve"> set</w:t>
      </w:r>
      <w:r w:rsidR="00133210">
        <w:t>ting</w:t>
      </w:r>
      <w:r w:rsidR="00133210" w:rsidRPr="00921AF6">
        <w:t xml:space="preserve"> out the process for implementing the recommendations/findings that are accepted by the government</w:t>
      </w:r>
      <w:r w:rsidR="00E34A2D">
        <w:t xml:space="preserve"> </w:t>
      </w:r>
      <w:r w:rsidR="00E34A2D" w:rsidRPr="00E34A2D">
        <w:rPr>
          <w:i/>
        </w:rPr>
        <w:t xml:space="preserve">– Note: this implementation Plan is for Cabinet consideration </w:t>
      </w:r>
      <w:r w:rsidR="00D34277">
        <w:rPr>
          <w:i/>
        </w:rPr>
        <w:t xml:space="preserve">only </w:t>
      </w:r>
      <w:r w:rsidR="00E34A2D" w:rsidRPr="00E34A2D">
        <w:rPr>
          <w:i/>
        </w:rPr>
        <w:t xml:space="preserve">and is NOT to be </w:t>
      </w:r>
      <w:r w:rsidR="00E34A2D">
        <w:rPr>
          <w:i/>
        </w:rPr>
        <w:t>tabled in the Legislative Assembly with the Government Response</w:t>
      </w:r>
      <w:r w:rsidR="005829D7">
        <w:t>.</w:t>
      </w:r>
    </w:p>
    <w:p w:rsidR="004115F2" w:rsidRPr="004115F2" w:rsidRDefault="004115F2" w:rsidP="00133210">
      <w:pPr>
        <w:pStyle w:val="ListParagraph"/>
        <w:numPr>
          <w:ilvl w:val="0"/>
          <w:numId w:val="4"/>
        </w:numPr>
        <w:contextualSpacing w:val="0"/>
      </w:pPr>
      <w:r>
        <w:t>Directorates must ensure that all papers are provided within agreed timeframes and must keep the Cabinet Office informed about the progress of the Government response with respect to forecast dates for Cabinet consideration.</w:t>
      </w:r>
    </w:p>
    <w:p w:rsidR="000B6313" w:rsidRPr="00F06F24" w:rsidRDefault="000B6313" w:rsidP="00482404">
      <w:pPr>
        <w:pStyle w:val="Heading2"/>
      </w:pPr>
      <w:bookmarkStart w:id="8" w:name="_Toc421177909"/>
      <w:r>
        <w:t>Timeframe for Response</w:t>
      </w:r>
      <w:bookmarkEnd w:id="8"/>
    </w:p>
    <w:p w:rsidR="000B6313" w:rsidRPr="00F06F24" w:rsidRDefault="000B6313" w:rsidP="000B6313">
      <w:pPr>
        <w:pStyle w:val="ListParagraph"/>
        <w:numPr>
          <w:ilvl w:val="0"/>
          <w:numId w:val="4"/>
        </w:numPr>
        <w:ind w:left="357" w:hanging="357"/>
        <w:contextualSpacing w:val="0"/>
      </w:pPr>
      <w:r>
        <w:t xml:space="preserve">A government response to the audit report must be prepared for tabling in the Assembly, and for provision to the PAC to assist </w:t>
      </w:r>
      <w:r w:rsidR="00E34A2D">
        <w:t>in deciding if it will conduct a further</w:t>
      </w:r>
      <w:r>
        <w:t xml:space="preserve"> inquiry</w:t>
      </w:r>
      <w:r w:rsidR="00E34A2D">
        <w:t>.</w:t>
      </w:r>
    </w:p>
    <w:p w:rsidR="00AE300C" w:rsidRDefault="00AE300C" w:rsidP="00AE300C">
      <w:pPr>
        <w:pStyle w:val="ListParagraph"/>
        <w:numPr>
          <w:ilvl w:val="0"/>
          <w:numId w:val="4"/>
        </w:numPr>
        <w:ind w:left="357" w:hanging="357"/>
        <w:contextualSpacing w:val="0"/>
      </w:pPr>
      <w:r w:rsidRPr="00F06F24">
        <w:t>The timeframe for preparation and tabling of a response to a</w:t>
      </w:r>
      <w:r>
        <w:t xml:space="preserve">n audit report is </w:t>
      </w:r>
      <w:r w:rsidR="00DC1724">
        <w:rPr>
          <w:u w:val="single"/>
        </w:rPr>
        <w:t>four</w:t>
      </w:r>
      <w:r w:rsidRPr="008A08EC">
        <w:rPr>
          <w:u w:val="single"/>
        </w:rPr>
        <w:t xml:space="preserve"> months</w:t>
      </w:r>
      <w:r w:rsidRPr="00F06F24">
        <w:t>.</w:t>
      </w:r>
      <w:r w:rsidR="00B16B9A">
        <w:t xml:space="preserve"> If the Assembly is not sitting when the government response is due, the responsible minister may present the response to the Speaker for out of session circulation, with the response to be tabled in the Assembly on the next day of sitting.</w:t>
      </w:r>
    </w:p>
    <w:p w:rsidR="00347BC0" w:rsidRPr="00593200" w:rsidRDefault="00347BC0" w:rsidP="00347BC0">
      <w:pPr>
        <w:pStyle w:val="ListParagraph"/>
        <w:numPr>
          <w:ilvl w:val="0"/>
          <w:numId w:val="4"/>
        </w:numPr>
        <w:spacing w:after="0"/>
        <w:ind w:left="357" w:hanging="357"/>
        <w:contextualSpacing w:val="0"/>
      </w:pPr>
      <w:r w:rsidRPr="00593200">
        <w:t xml:space="preserve">During years in which an ACT General Election is to be held, wherever possible, the Government should present its response to the performance audit reports prior to the commencement of the Caretaker period. </w:t>
      </w:r>
    </w:p>
    <w:p w:rsidR="00D34277" w:rsidRDefault="00D34277">
      <w:pPr>
        <w:spacing w:after="0" w:line="240" w:lineRule="auto"/>
        <w:rPr>
          <w:b/>
          <w:bCs/>
          <w:sz w:val="32"/>
          <w:szCs w:val="32"/>
        </w:rPr>
      </w:pPr>
      <w:r>
        <w:br w:type="page"/>
      </w:r>
    </w:p>
    <w:p w:rsidR="00E34A2D" w:rsidRPr="009E46FE" w:rsidRDefault="005829D7" w:rsidP="00BE02AC">
      <w:pPr>
        <w:pStyle w:val="Heading1"/>
        <w:rPr>
          <w:rStyle w:val="SubtleEmphasis"/>
        </w:rPr>
      </w:pPr>
      <w:bookmarkStart w:id="9" w:name="_Toc421177910"/>
      <w:r>
        <w:lastRenderedPageBreak/>
        <w:t>Public</w:t>
      </w:r>
      <w:r w:rsidR="00E34A2D">
        <w:t xml:space="preserve"> Accounts Committee Inquiry</w:t>
      </w:r>
      <w:bookmarkEnd w:id="9"/>
    </w:p>
    <w:p w:rsidR="00585D01" w:rsidRPr="00F06F24" w:rsidRDefault="00585D01" w:rsidP="00585D01">
      <w:pPr>
        <w:pStyle w:val="Heading2"/>
      </w:pPr>
      <w:bookmarkStart w:id="10" w:name="_Toc421177911"/>
      <w:r>
        <w:t>Consideration of</w:t>
      </w:r>
      <w:r w:rsidRPr="00F06F24">
        <w:t xml:space="preserve"> Auditor-General report</w:t>
      </w:r>
      <w:bookmarkEnd w:id="10"/>
    </w:p>
    <w:p w:rsidR="00585D01" w:rsidRDefault="00404014" w:rsidP="00482404">
      <w:pPr>
        <w:pStyle w:val="ListParagraph"/>
        <w:numPr>
          <w:ilvl w:val="0"/>
          <w:numId w:val="4"/>
        </w:numPr>
        <w:ind w:left="357" w:hanging="357"/>
        <w:contextualSpacing w:val="0"/>
      </w:pPr>
      <w:r w:rsidRPr="00482404">
        <w:t>The Government response to an audit report is a key document to assist the PAC in its</w:t>
      </w:r>
      <w:r>
        <w:t xml:space="preserve"> examination of the report. </w:t>
      </w:r>
      <w:r w:rsidRPr="00404014">
        <w:t>In its examination of an audit report, the PAC may invite public submissions on the report and/or the Government response.</w:t>
      </w:r>
    </w:p>
    <w:p w:rsidR="00585D01" w:rsidRDefault="00404014" w:rsidP="00482404">
      <w:pPr>
        <w:pStyle w:val="ListParagraph"/>
        <w:numPr>
          <w:ilvl w:val="0"/>
          <w:numId w:val="4"/>
        </w:numPr>
        <w:ind w:left="357" w:hanging="357"/>
        <w:contextualSpacing w:val="0"/>
      </w:pPr>
      <w:r>
        <w:t>In the event that</w:t>
      </w:r>
      <w:r w:rsidRPr="00404014">
        <w:t xml:space="preserve"> public servants </w:t>
      </w:r>
      <w:r w:rsidR="00AD3593">
        <w:t xml:space="preserve">are asked </w:t>
      </w:r>
      <w:r>
        <w:t xml:space="preserve">to appear before a Committee inquiry into an audit report, they should follow </w:t>
      </w:r>
      <w:r w:rsidR="00AD3593">
        <w:t xml:space="preserve">the processes outlined in the </w:t>
      </w:r>
      <w:hyperlink r:id="rId14" w:history="1">
        <w:r w:rsidR="00AD3593" w:rsidRPr="00585D01">
          <w:rPr>
            <w:rStyle w:val="Hyperlink"/>
          </w:rPr>
          <w:t>Handbook for ACT Government Officials on Participation in Assembly and Other Inquiries</w:t>
        </w:r>
      </w:hyperlink>
      <w:r w:rsidR="00AD3593">
        <w:t>.</w:t>
      </w:r>
    </w:p>
    <w:p w:rsidR="00585D01" w:rsidRDefault="008D078E" w:rsidP="00482404">
      <w:pPr>
        <w:pStyle w:val="ListParagraph"/>
        <w:numPr>
          <w:ilvl w:val="0"/>
          <w:numId w:val="4"/>
        </w:numPr>
        <w:ind w:left="357" w:hanging="357"/>
        <w:contextualSpacing w:val="0"/>
      </w:pPr>
      <w:r w:rsidRPr="008D078E">
        <w:t>There is no fixed period in which PAC is required to bring</w:t>
      </w:r>
      <w:r w:rsidR="00404014">
        <w:t xml:space="preserve"> down its report, or advise the </w:t>
      </w:r>
      <w:r w:rsidRPr="008D078E">
        <w:t>Assembly of its resolution to not inquire further.</w:t>
      </w:r>
    </w:p>
    <w:p w:rsidR="008D078E" w:rsidRPr="008D078E" w:rsidRDefault="008D078E" w:rsidP="00482404">
      <w:pPr>
        <w:pStyle w:val="ListParagraph"/>
        <w:numPr>
          <w:ilvl w:val="0"/>
          <w:numId w:val="4"/>
        </w:numPr>
        <w:ind w:left="357" w:hanging="357"/>
        <w:contextualSpacing w:val="0"/>
      </w:pPr>
      <w:r w:rsidRPr="008D078E">
        <w:t xml:space="preserve">After considering the Auditor-General’s report, and any other information and evidence it considers relevant, including the </w:t>
      </w:r>
      <w:r w:rsidR="00427977">
        <w:t>G</w:t>
      </w:r>
      <w:r w:rsidRPr="008D078E">
        <w:t xml:space="preserve">overnment </w:t>
      </w:r>
      <w:r w:rsidR="00427977">
        <w:t>R</w:t>
      </w:r>
      <w:r w:rsidRPr="008D078E">
        <w:t xml:space="preserve">esponse </w:t>
      </w:r>
      <w:r w:rsidR="00427977">
        <w:t>to the Auditor-General’s Report</w:t>
      </w:r>
      <w:r w:rsidR="00404014">
        <w:t>,</w:t>
      </w:r>
      <w:r w:rsidR="00427977">
        <w:t xml:space="preserve"> </w:t>
      </w:r>
      <w:r w:rsidR="0021113A">
        <w:t>the PAC may</w:t>
      </w:r>
      <w:r>
        <w:t xml:space="preserve"> </w:t>
      </w:r>
      <w:r w:rsidR="0021113A">
        <w:t>proceed on one of two ways:</w:t>
      </w:r>
    </w:p>
    <w:p w:rsidR="008D078E" w:rsidRPr="00F06F24" w:rsidRDefault="008D078E" w:rsidP="00482404">
      <w:pPr>
        <w:pStyle w:val="Heading2"/>
      </w:pPr>
      <w:bookmarkStart w:id="11" w:name="_Toc421177912"/>
      <w:r w:rsidRPr="00F06F24">
        <w:t xml:space="preserve">Nil </w:t>
      </w:r>
      <w:r>
        <w:t xml:space="preserve">further </w:t>
      </w:r>
      <w:r w:rsidRPr="00F06F24">
        <w:t xml:space="preserve">inquiry into </w:t>
      </w:r>
      <w:r w:rsidR="0021113A">
        <w:t>the audit</w:t>
      </w:r>
      <w:r w:rsidRPr="00F06F24">
        <w:t xml:space="preserve"> report</w:t>
      </w:r>
      <w:bookmarkEnd w:id="11"/>
    </w:p>
    <w:p w:rsidR="008D078E" w:rsidRDefault="008D078E" w:rsidP="008D078E">
      <w:pPr>
        <w:pStyle w:val="ListParagraph"/>
        <w:numPr>
          <w:ilvl w:val="0"/>
          <w:numId w:val="4"/>
        </w:numPr>
        <w:ind w:left="357" w:hanging="357"/>
        <w:contextualSpacing w:val="0"/>
      </w:pPr>
      <w:r w:rsidRPr="00F06F24">
        <w:t xml:space="preserve">If PAC resolves not to inquire into an Auditor-General report, </w:t>
      </w:r>
      <w:r>
        <w:t>the Government need not make any further response, provided that a response to the audit report has been tabled.</w:t>
      </w:r>
    </w:p>
    <w:p w:rsidR="008D078E" w:rsidRDefault="008D078E" w:rsidP="008D078E">
      <w:pPr>
        <w:pStyle w:val="ListParagraph"/>
        <w:numPr>
          <w:ilvl w:val="0"/>
          <w:numId w:val="4"/>
        </w:numPr>
        <w:ind w:left="357" w:hanging="357"/>
        <w:contextualSpacing w:val="0"/>
      </w:pPr>
      <w:r>
        <w:t xml:space="preserve">Should the Government wish to add to or amend its earlier response, there is no set </w:t>
      </w:r>
      <w:r w:rsidRPr="00F06F24">
        <w:t>timeframe for preparatio</w:t>
      </w:r>
      <w:r>
        <w:t>n and tabling of such a response</w:t>
      </w:r>
      <w:r w:rsidRPr="00F06F24">
        <w:t>.</w:t>
      </w:r>
    </w:p>
    <w:p w:rsidR="0032374F" w:rsidRPr="00921AF6" w:rsidRDefault="0032374F" w:rsidP="0032374F">
      <w:pPr>
        <w:pStyle w:val="ListParagraph"/>
        <w:numPr>
          <w:ilvl w:val="0"/>
          <w:numId w:val="4"/>
        </w:numPr>
        <w:contextualSpacing w:val="0"/>
      </w:pPr>
      <w:r>
        <w:t>It is important to ensure implementation and appropriate follow up occurs regardless of whether the PAC resolves to not inquire further into an Auditor</w:t>
      </w:r>
      <w:r>
        <w:noBreakHyphen/>
        <w:t>General report.</w:t>
      </w:r>
    </w:p>
    <w:p w:rsidR="0077176E" w:rsidRPr="00F06F24" w:rsidRDefault="0021113A" w:rsidP="00482404">
      <w:pPr>
        <w:pStyle w:val="Heading2"/>
      </w:pPr>
      <w:bookmarkStart w:id="12" w:name="_Toc421177913"/>
      <w:r>
        <w:t>Further i</w:t>
      </w:r>
      <w:r w:rsidR="00427977">
        <w:t>nquiry</w:t>
      </w:r>
      <w:r>
        <w:t xml:space="preserve"> and report on the audit report</w:t>
      </w:r>
      <w:bookmarkEnd w:id="12"/>
    </w:p>
    <w:p w:rsidR="0021113A" w:rsidRDefault="0021113A" w:rsidP="00427977">
      <w:pPr>
        <w:pStyle w:val="ListParagraph"/>
        <w:numPr>
          <w:ilvl w:val="0"/>
          <w:numId w:val="4"/>
        </w:numPr>
      </w:pPr>
      <w:r>
        <w:t>Further inquiries by</w:t>
      </w:r>
      <w:r w:rsidR="00A934DB">
        <w:t xml:space="preserve"> the PAC</w:t>
      </w:r>
      <w:r>
        <w:t xml:space="preserve"> may include further public consultation and/or further requests for information from the Government.</w:t>
      </w:r>
    </w:p>
    <w:p w:rsidR="00D16EB5" w:rsidRDefault="0021113A" w:rsidP="00427977">
      <w:pPr>
        <w:pStyle w:val="ListParagraph"/>
        <w:numPr>
          <w:ilvl w:val="0"/>
          <w:numId w:val="4"/>
        </w:numPr>
      </w:pPr>
      <w:r>
        <w:t>Once the PAC has finalised its report, it</w:t>
      </w:r>
      <w:r w:rsidR="00D16EB5" w:rsidRPr="00F06F24">
        <w:t xml:space="preserve"> </w:t>
      </w:r>
      <w:r w:rsidR="00A934DB">
        <w:t xml:space="preserve">will </w:t>
      </w:r>
      <w:r>
        <w:t>table</w:t>
      </w:r>
      <w:r w:rsidR="00D16EB5" w:rsidRPr="00F06F24">
        <w:t xml:space="preserve"> </w:t>
      </w:r>
      <w:r>
        <w:t xml:space="preserve">the report </w:t>
      </w:r>
      <w:r w:rsidR="00D16EB5" w:rsidRPr="00F06F24">
        <w:t>in the Assembly</w:t>
      </w:r>
      <w:r>
        <w:t xml:space="preserve"> in the same way as for other Committee reports</w:t>
      </w:r>
      <w:r w:rsidR="00D16EB5" w:rsidRPr="00F06F24">
        <w:t>.</w:t>
      </w:r>
    </w:p>
    <w:p w:rsidR="00427977" w:rsidRPr="009E46FE" w:rsidRDefault="00427977" w:rsidP="00BE02AC">
      <w:pPr>
        <w:pStyle w:val="Heading1"/>
        <w:rPr>
          <w:rStyle w:val="SubtleEmphasis"/>
        </w:rPr>
      </w:pPr>
      <w:bookmarkStart w:id="13" w:name="_Toc421177914"/>
      <w:r>
        <w:t>Government Response to the PAC’s Report</w:t>
      </w:r>
      <w:bookmarkEnd w:id="13"/>
      <w:r w:rsidR="00A934DB">
        <w:t xml:space="preserve"> </w:t>
      </w:r>
    </w:p>
    <w:p w:rsidR="00A934DB" w:rsidRPr="007B3901" w:rsidRDefault="00427977" w:rsidP="007B3901">
      <w:pPr>
        <w:pStyle w:val="Heading2"/>
      </w:pPr>
      <w:bookmarkStart w:id="14" w:name="_Toc421177915"/>
      <w:r w:rsidRPr="007B3901">
        <w:rPr>
          <w:color w:val="17365D" w:themeColor="text2" w:themeShade="BF"/>
        </w:rPr>
        <w:t>Preparation of Response</w:t>
      </w:r>
      <w:bookmarkEnd w:id="14"/>
      <w:r w:rsidR="00A934DB" w:rsidRPr="007B3901">
        <w:rPr>
          <w:color w:val="17365D" w:themeColor="text2" w:themeShade="BF"/>
        </w:rPr>
        <w:t xml:space="preserve"> </w:t>
      </w:r>
    </w:p>
    <w:p w:rsidR="00A934DB" w:rsidRPr="00F06F24" w:rsidRDefault="00A934DB" w:rsidP="00A934DB">
      <w:pPr>
        <w:pStyle w:val="ListParagraph"/>
        <w:numPr>
          <w:ilvl w:val="0"/>
          <w:numId w:val="4"/>
        </w:numPr>
        <w:ind w:left="357" w:hanging="357"/>
        <w:contextualSpacing w:val="0"/>
      </w:pPr>
      <w:r>
        <w:t>A government response to the PAC report must be prepared for tabling in the Assembly, and for provision to the PAC. A</w:t>
      </w:r>
      <w:r w:rsidRPr="00F06F24">
        <w:t xml:space="preserve"> Cabinet submission </w:t>
      </w:r>
      <w:r>
        <w:t>proposing</w:t>
      </w:r>
      <w:r w:rsidRPr="00F06F24">
        <w:t xml:space="preserve"> a </w:t>
      </w:r>
      <w:r>
        <w:t>government response should include any required revision of the Whole of Government Action plan.</w:t>
      </w:r>
    </w:p>
    <w:p w:rsidR="00A934DB" w:rsidRDefault="00A934DB" w:rsidP="00A934DB">
      <w:pPr>
        <w:pStyle w:val="ListParagraph"/>
        <w:numPr>
          <w:ilvl w:val="1"/>
          <w:numId w:val="4"/>
        </w:numPr>
        <w:contextualSpacing w:val="0"/>
      </w:pPr>
      <w:r>
        <w:t xml:space="preserve">If the PAC report raises no additional issues and makes no further recommendations beyond the issues and recommendations set out in the audit report, the Government’s response may simply reference </w:t>
      </w:r>
      <w:r w:rsidR="00B84257">
        <w:t>its</w:t>
      </w:r>
      <w:r>
        <w:t xml:space="preserve"> response to the audit report.</w:t>
      </w:r>
    </w:p>
    <w:p w:rsidR="00A934DB" w:rsidRPr="00F06F24" w:rsidRDefault="00A934DB" w:rsidP="00A934DB">
      <w:pPr>
        <w:pStyle w:val="ListParagraph"/>
        <w:numPr>
          <w:ilvl w:val="1"/>
          <w:numId w:val="4"/>
        </w:numPr>
        <w:contextualSpacing w:val="0"/>
      </w:pPr>
      <w:r>
        <w:lastRenderedPageBreak/>
        <w:t xml:space="preserve">If the PAC raises additional issues, or makes further recommendations, or if the Government otherwise wishes to </w:t>
      </w:r>
      <w:r w:rsidR="0076414A">
        <w:t>revise its earlier response, a full Government</w:t>
      </w:r>
      <w:r>
        <w:t xml:space="preserve"> </w:t>
      </w:r>
      <w:r w:rsidRPr="00F06F24">
        <w:t xml:space="preserve">response should </w:t>
      </w:r>
      <w:r w:rsidR="0076414A">
        <w:t>be prepared</w:t>
      </w:r>
      <w:r>
        <w:t>.</w:t>
      </w:r>
    </w:p>
    <w:p w:rsidR="0076414A" w:rsidRPr="00756B04" w:rsidRDefault="00427977" w:rsidP="0076414A">
      <w:pPr>
        <w:pStyle w:val="ListParagraph"/>
        <w:numPr>
          <w:ilvl w:val="0"/>
          <w:numId w:val="4"/>
        </w:numPr>
        <w:spacing w:after="120"/>
      </w:pPr>
      <w:r w:rsidRPr="00756B04">
        <w:t>The Government’s response should be prepared and clearly articulate the government’s position in relation to each recommendation/finding. Before a government position can be determined, each of the recommendations/findings needs to be assessed</w:t>
      </w:r>
      <w:r w:rsidR="0076414A">
        <w:t xml:space="preserve"> (</w:t>
      </w:r>
      <w:r w:rsidR="0076414A" w:rsidRPr="0076414A">
        <w:rPr>
          <w:u w:val="single"/>
        </w:rPr>
        <w:t>Appendix A</w:t>
      </w:r>
      <w:r w:rsidR="0076414A">
        <w:t>)</w:t>
      </w:r>
      <w:r w:rsidRPr="00756B04">
        <w:t>.</w:t>
      </w:r>
      <w:r w:rsidR="00AD3593">
        <w:t xml:space="preserve"> An example format for the Government response is provided at </w:t>
      </w:r>
      <w:r w:rsidR="00AD3593" w:rsidRPr="00AD3593">
        <w:rPr>
          <w:u w:val="single"/>
        </w:rPr>
        <w:t>A</w:t>
      </w:r>
      <w:r w:rsidR="00E459CC">
        <w:rPr>
          <w:u w:val="single"/>
        </w:rPr>
        <w:t>ppendix</w:t>
      </w:r>
      <w:r w:rsidR="00AD3593" w:rsidRPr="00AD3593">
        <w:rPr>
          <w:u w:val="single"/>
        </w:rPr>
        <w:t xml:space="preserve"> B</w:t>
      </w:r>
      <w:r w:rsidR="00AD3593">
        <w:t>.</w:t>
      </w:r>
    </w:p>
    <w:p w:rsidR="00427977" w:rsidRPr="007B3901" w:rsidRDefault="00427977" w:rsidP="007B3901">
      <w:pPr>
        <w:pStyle w:val="Heading2"/>
      </w:pPr>
      <w:bookmarkStart w:id="15" w:name="_Toc421177916"/>
      <w:r w:rsidRPr="007B3901">
        <w:t>Cabinet Approval</w:t>
      </w:r>
      <w:bookmarkEnd w:id="15"/>
    </w:p>
    <w:p w:rsidR="004115F2" w:rsidRDefault="004115F2" w:rsidP="004115F2">
      <w:pPr>
        <w:pStyle w:val="ListParagraph"/>
        <w:numPr>
          <w:ilvl w:val="0"/>
          <w:numId w:val="4"/>
        </w:numPr>
        <w:ind w:left="357" w:hanging="357"/>
        <w:contextualSpacing w:val="0"/>
      </w:pPr>
      <w:r>
        <w:t>A</w:t>
      </w:r>
      <w:r w:rsidRPr="00F06F24">
        <w:t xml:space="preserve"> Cabinet submission </w:t>
      </w:r>
      <w:r>
        <w:t>proposing</w:t>
      </w:r>
      <w:r w:rsidRPr="00F06F24">
        <w:t xml:space="preserve"> </w:t>
      </w:r>
      <w:r>
        <w:t xml:space="preserve">and seeking approval to </w:t>
      </w:r>
      <w:r w:rsidRPr="00F06F24">
        <w:t xml:space="preserve">a </w:t>
      </w:r>
      <w:r>
        <w:t xml:space="preserve">Government Response must </w:t>
      </w:r>
      <w:r w:rsidRPr="00F06F24">
        <w:t xml:space="preserve">be </w:t>
      </w:r>
      <w:r>
        <w:t xml:space="preserve">prepared and circulated </w:t>
      </w:r>
      <w:r w:rsidRPr="00F06F24">
        <w:t xml:space="preserve">in accordance with the </w:t>
      </w:r>
      <w:hyperlink r:id="rId15" w:history="1">
        <w:r w:rsidRPr="00F06F24">
          <w:rPr>
            <w:rStyle w:val="Hyperlink"/>
          </w:rPr>
          <w:t>Cabinet Handbook</w:t>
        </w:r>
      </w:hyperlink>
      <w:r>
        <w:t xml:space="preserve"> and </w:t>
      </w:r>
      <w:hyperlink r:id="rId16" w:history="1">
        <w:r w:rsidR="00AD3593">
          <w:rPr>
            <w:rStyle w:val="Hyperlink"/>
          </w:rPr>
          <w:t>Cabinet Paper Drafting Guide</w:t>
        </w:r>
      </w:hyperlink>
      <w:r w:rsidRPr="00AD3593">
        <w:t>.</w:t>
      </w:r>
    </w:p>
    <w:p w:rsidR="004115F2" w:rsidRDefault="004115F2" w:rsidP="004115F2">
      <w:pPr>
        <w:pStyle w:val="ListParagraph"/>
        <w:numPr>
          <w:ilvl w:val="0"/>
          <w:numId w:val="4"/>
        </w:numPr>
        <w:ind w:left="357" w:hanging="357"/>
        <w:contextualSpacing w:val="0"/>
      </w:pPr>
      <w:r>
        <w:t>The Cabinet Submission should summarise the main recommendations and findings of the PAC</w:t>
      </w:r>
      <w:r w:rsidR="00E57565">
        <w:t>’s report</w:t>
      </w:r>
      <w:r>
        <w:t>. While the Cabinet Submission should not replicate detailed information from the Government Response, it should include sufficient detail to support proposed positions. Particular attention should be paid to any recommendations/findings that are not proposed to be supported.</w:t>
      </w:r>
    </w:p>
    <w:p w:rsidR="00427977" w:rsidRPr="00E34A2D" w:rsidRDefault="00427977" w:rsidP="00427977">
      <w:pPr>
        <w:pStyle w:val="ListParagraph"/>
        <w:numPr>
          <w:ilvl w:val="0"/>
          <w:numId w:val="4"/>
        </w:numPr>
        <w:contextualSpacing w:val="0"/>
        <w:rPr>
          <w:i/>
        </w:rPr>
      </w:pPr>
      <w:r w:rsidRPr="001F026F">
        <w:t xml:space="preserve">The </w:t>
      </w:r>
      <w:r w:rsidR="001F026F">
        <w:t>Whole of G</w:t>
      </w:r>
      <w:r w:rsidRPr="001F026F">
        <w:t xml:space="preserve">overnment </w:t>
      </w:r>
      <w:r w:rsidR="001F026F">
        <w:t>Action P</w:t>
      </w:r>
      <w:r w:rsidRPr="001F026F">
        <w:t>lan</w:t>
      </w:r>
      <w:r w:rsidR="001F026F">
        <w:t xml:space="preserve"> </w:t>
      </w:r>
      <w:r w:rsidR="00E459CC">
        <w:t>(</w:t>
      </w:r>
      <w:r w:rsidR="00E459CC" w:rsidRPr="00E459CC">
        <w:rPr>
          <w:u w:val="single"/>
        </w:rPr>
        <w:t>Appendix C</w:t>
      </w:r>
      <w:r w:rsidR="0021578E">
        <w:t>) must be revised</w:t>
      </w:r>
      <w:r w:rsidR="001F026F">
        <w:t xml:space="preserve"> as necessary</w:t>
      </w:r>
      <w:r w:rsidR="0021578E">
        <w:t>, reflecting</w:t>
      </w:r>
      <w:r w:rsidRPr="00921AF6">
        <w:t xml:space="preserve"> the</w:t>
      </w:r>
      <w:r w:rsidR="0021578E">
        <w:t xml:space="preserve"> PAC</w:t>
      </w:r>
      <w:r w:rsidRPr="00921AF6">
        <w:t xml:space="preserve"> recommendations/findings that are accepted by the government</w:t>
      </w:r>
      <w:r w:rsidR="0021578E">
        <w:t>, and attached to the Cabinet submission</w:t>
      </w:r>
      <w:r>
        <w:t xml:space="preserve"> </w:t>
      </w:r>
      <w:r w:rsidRPr="00E34A2D">
        <w:rPr>
          <w:i/>
        </w:rPr>
        <w:t xml:space="preserve">– Note: this implementation Plan is for Cabinet consideration </w:t>
      </w:r>
      <w:r w:rsidR="00E57565">
        <w:rPr>
          <w:i/>
        </w:rPr>
        <w:t xml:space="preserve">only </w:t>
      </w:r>
      <w:r w:rsidRPr="00E34A2D">
        <w:rPr>
          <w:i/>
        </w:rPr>
        <w:t xml:space="preserve">and is NOT to be </w:t>
      </w:r>
      <w:r>
        <w:rPr>
          <w:i/>
        </w:rPr>
        <w:t>tabled in the Legislative Assembly with the Government Response</w:t>
      </w:r>
      <w:r w:rsidRPr="00E34A2D">
        <w:rPr>
          <w:i/>
        </w:rPr>
        <w:t>.</w:t>
      </w:r>
    </w:p>
    <w:p w:rsidR="00427977" w:rsidRPr="007B3901" w:rsidRDefault="00427977" w:rsidP="007B3901">
      <w:pPr>
        <w:pStyle w:val="Heading2"/>
      </w:pPr>
      <w:bookmarkStart w:id="16" w:name="_Toc421177917"/>
      <w:r w:rsidRPr="007B3901">
        <w:t>Timeframe for Response</w:t>
      </w:r>
      <w:bookmarkEnd w:id="16"/>
    </w:p>
    <w:p w:rsidR="00875310" w:rsidRDefault="00B16B9A" w:rsidP="00875310">
      <w:pPr>
        <w:pStyle w:val="ListParagraph"/>
        <w:numPr>
          <w:ilvl w:val="0"/>
          <w:numId w:val="4"/>
        </w:numPr>
        <w:spacing w:after="0"/>
        <w:ind w:left="357" w:hanging="357"/>
        <w:contextualSpacing w:val="0"/>
      </w:pPr>
      <w:r w:rsidRPr="00F06F24">
        <w:t xml:space="preserve">The timeframe for preparation and tabling of a response to </w:t>
      </w:r>
      <w:r>
        <w:t xml:space="preserve">PAC report on </w:t>
      </w:r>
      <w:r w:rsidRPr="00F06F24">
        <w:t>a</w:t>
      </w:r>
      <w:r>
        <w:t xml:space="preserve">n audit report is </w:t>
      </w:r>
      <w:r>
        <w:rPr>
          <w:u w:val="single"/>
        </w:rPr>
        <w:t>four</w:t>
      </w:r>
      <w:r w:rsidRPr="008A08EC">
        <w:rPr>
          <w:u w:val="single"/>
        </w:rPr>
        <w:t xml:space="preserve"> months</w:t>
      </w:r>
      <w:r w:rsidRPr="00F06F24">
        <w:t>.</w:t>
      </w:r>
      <w:r>
        <w:t xml:space="preserve"> If the Assembly is not sitting when the government response is due, the responsible minister may present the response to the Speaker for out of session circulation, with the response to be tabled in the Assembly on the next day of sitting.</w:t>
      </w:r>
    </w:p>
    <w:p w:rsidR="00427977" w:rsidRPr="009E46FE" w:rsidRDefault="00427977" w:rsidP="00BE02AC">
      <w:pPr>
        <w:pStyle w:val="Heading1"/>
        <w:rPr>
          <w:rStyle w:val="SubtleEmphasis"/>
        </w:rPr>
      </w:pPr>
      <w:bookmarkStart w:id="17" w:name="_Toc421177918"/>
      <w:r>
        <w:t>Implementation and Follow Up</w:t>
      </w:r>
      <w:bookmarkEnd w:id="17"/>
    </w:p>
    <w:p w:rsidR="00756B04" w:rsidRPr="007B3901" w:rsidRDefault="00756B04" w:rsidP="007B3901">
      <w:pPr>
        <w:pStyle w:val="Heading2"/>
      </w:pPr>
      <w:bookmarkStart w:id="18" w:name="_Toc421177919"/>
      <w:r w:rsidRPr="007B3901">
        <w:t>Implementation Plans</w:t>
      </w:r>
      <w:bookmarkEnd w:id="18"/>
    </w:p>
    <w:p w:rsidR="00D6192F" w:rsidRPr="00921AF6" w:rsidRDefault="00D6192F" w:rsidP="00756B04">
      <w:pPr>
        <w:pStyle w:val="ListParagraph"/>
        <w:numPr>
          <w:ilvl w:val="0"/>
          <w:numId w:val="4"/>
        </w:numPr>
        <w:ind w:left="357" w:hanging="357"/>
        <w:contextualSpacing w:val="0"/>
      </w:pPr>
      <w:r w:rsidRPr="00921AF6">
        <w:t xml:space="preserve">All affected directorates should prepare individual internal </w:t>
      </w:r>
      <w:r w:rsidR="00756B04">
        <w:t>implementation</w:t>
      </w:r>
      <w:r w:rsidRPr="00921AF6">
        <w:t xml:space="preserve"> plans for implementing supported recommendation</w:t>
      </w:r>
      <w:r w:rsidR="004511A3" w:rsidRPr="00921AF6">
        <w:t>s</w:t>
      </w:r>
      <w:r w:rsidRPr="00921AF6">
        <w:t xml:space="preserve"> within their directorate. These plans should be based on, and consistent with, the government’s position in respect </w:t>
      </w:r>
      <w:r w:rsidR="004B00F2" w:rsidRPr="00921AF6">
        <w:t>to</w:t>
      </w:r>
      <w:r w:rsidRPr="00921AF6">
        <w:t xml:space="preserve"> the report recommendations and </w:t>
      </w:r>
      <w:r w:rsidR="00B84257">
        <w:t>the</w:t>
      </w:r>
      <w:r w:rsidRPr="00921AF6">
        <w:t xml:space="preserve"> </w:t>
      </w:r>
      <w:r w:rsidR="00756B04">
        <w:t>W</w:t>
      </w:r>
      <w:r w:rsidR="004B00F2" w:rsidRPr="00921AF6">
        <w:t xml:space="preserve">hole of </w:t>
      </w:r>
      <w:r w:rsidR="00756B04">
        <w:t>Government A</w:t>
      </w:r>
      <w:r w:rsidR="004B00F2" w:rsidRPr="00921AF6">
        <w:t>ction plan.</w:t>
      </w:r>
      <w:r w:rsidRPr="00921AF6">
        <w:t xml:space="preserve"> Directorates not directly affect</w:t>
      </w:r>
      <w:r w:rsidR="00C02BB0" w:rsidRPr="00921AF6">
        <w:t>ed</w:t>
      </w:r>
      <w:r w:rsidRPr="00921AF6">
        <w:t xml:space="preserve"> by </w:t>
      </w:r>
      <w:r w:rsidR="001A483A">
        <w:t xml:space="preserve">a </w:t>
      </w:r>
      <w:r w:rsidRPr="00921AF6">
        <w:t>report recommendation should consider whether there is a need to adjust their own operations, and if so, prepare individual action plans.</w:t>
      </w:r>
    </w:p>
    <w:p w:rsidR="00756B04" w:rsidRPr="007B3901" w:rsidRDefault="00756B04" w:rsidP="007B3901">
      <w:pPr>
        <w:pStyle w:val="Heading2"/>
      </w:pPr>
      <w:bookmarkStart w:id="19" w:name="_Toc421177920"/>
      <w:r w:rsidRPr="007B3901">
        <w:t>Implementation</w:t>
      </w:r>
      <w:bookmarkEnd w:id="19"/>
    </w:p>
    <w:p w:rsidR="0032374F" w:rsidRDefault="001A483A" w:rsidP="00427977">
      <w:pPr>
        <w:pStyle w:val="ListParagraph"/>
        <w:numPr>
          <w:ilvl w:val="0"/>
          <w:numId w:val="4"/>
        </w:numPr>
        <w:contextualSpacing w:val="0"/>
      </w:pPr>
      <w:r>
        <w:t>Implementation on a gi</w:t>
      </w:r>
      <w:r w:rsidR="00ED7A99">
        <w:t>ven audit report commences</w:t>
      </w:r>
      <w:r>
        <w:t xml:space="preserve">, </w:t>
      </w:r>
      <w:r w:rsidR="00ED7A99">
        <w:t>as applicable, once agreed by Cabinet and subject to any revision required by the Government’s response to the PAC report.</w:t>
      </w:r>
      <w:r w:rsidR="0032374F" w:rsidRPr="0032374F">
        <w:t xml:space="preserve"> </w:t>
      </w:r>
    </w:p>
    <w:p w:rsidR="001A483A" w:rsidRDefault="0032374F" w:rsidP="00427977">
      <w:pPr>
        <w:pStyle w:val="ListParagraph"/>
        <w:numPr>
          <w:ilvl w:val="0"/>
          <w:numId w:val="4"/>
        </w:numPr>
        <w:contextualSpacing w:val="0"/>
      </w:pPr>
      <w:r>
        <w:lastRenderedPageBreak/>
        <w:t>Each Directorate must have in place a satisfactory process for implementing and monitoring accepted report recommendations, including the following key responsibilities:</w:t>
      </w:r>
    </w:p>
    <w:p w:rsidR="0032374F" w:rsidRDefault="0032374F" w:rsidP="0032374F">
      <w:pPr>
        <w:pStyle w:val="ListParagraph"/>
        <w:numPr>
          <w:ilvl w:val="1"/>
          <w:numId w:val="4"/>
        </w:numPr>
        <w:contextualSpacing w:val="0"/>
      </w:pPr>
      <w:r>
        <w:t>Maintaining a register of audit recommendations that monitors implementation and ensures that appropriate action takes place within a reasonable timeframe;</w:t>
      </w:r>
    </w:p>
    <w:p w:rsidR="0032374F" w:rsidRDefault="0032374F" w:rsidP="0032374F">
      <w:pPr>
        <w:pStyle w:val="ListParagraph"/>
        <w:numPr>
          <w:ilvl w:val="1"/>
          <w:numId w:val="4"/>
        </w:numPr>
        <w:contextualSpacing w:val="0"/>
      </w:pPr>
      <w:r>
        <w:t>Actively monitor implementation activity, through to completion; and</w:t>
      </w:r>
    </w:p>
    <w:p w:rsidR="0032374F" w:rsidRDefault="0032374F" w:rsidP="0032374F">
      <w:pPr>
        <w:pStyle w:val="ListParagraph"/>
        <w:numPr>
          <w:ilvl w:val="1"/>
          <w:numId w:val="4"/>
        </w:numPr>
        <w:contextualSpacing w:val="0"/>
      </w:pPr>
      <w:r>
        <w:t>Internally report progress to Directorate management, particularly where progress appears deficient.</w:t>
      </w:r>
    </w:p>
    <w:p w:rsidR="004508F9" w:rsidRPr="00921AF6" w:rsidRDefault="004508F9" w:rsidP="00427977">
      <w:pPr>
        <w:pStyle w:val="ListParagraph"/>
        <w:numPr>
          <w:ilvl w:val="0"/>
          <w:numId w:val="4"/>
        </w:numPr>
        <w:contextualSpacing w:val="0"/>
      </w:pPr>
      <w:r>
        <w:t>It is important to ensure implementation and appropriate follow up occurs regardless of whether the PAC inquire</w:t>
      </w:r>
      <w:r w:rsidR="00E57565">
        <w:t>s</w:t>
      </w:r>
      <w:r>
        <w:t xml:space="preserve"> further into an Auditor</w:t>
      </w:r>
      <w:r>
        <w:noBreakHyphen/>
        <w:t>General report.</w:t>
      </w:r>
    </w:p>
    <w:p w:rsidR="008A08EC" w:rsidRPr="00E459CC" w:rsidRDefault="008A08EC" w:rsidP="008A08EC">
      <w:pPr>
        <w:pStyle w:val="ListParagraph"/>
        <w:numPr>
          <w:ilvl w:val="0"/>
          <w:numId w:val="4"/>
        </w:numPr>
        <w:contextualSpacing w:val="0"/>
      </w:pPr>
      <w:r>
        <w:t xml:space="preserve">A summary of the minimum Directorate actions for implementing and following up </w:t>
      </w:r>
      <w:r w:rsidRPr="00E459CC">
        <w:t xml:space="preserve">supported report recommendations is at </w:t>
      </w:r>
      <w:r w:rsidR="00E459CC" w:rsidRPr="00E459CC">
        <w:rPr>
          <w:u w:val="single"/>
        </w:rPr>
        <w:t>Appendix D</w:t>
      </w:r>
      <w:r w:rsidRPr="00E459CC">
        <w:t>.</w:t>
      </w:r>
    </w:p>
    <w:p w:rsidR="002D02A5" w:rsidRDefault="002D02A5" w:rsidP="00427977">
      <w:pPr>
        <w:pStyle w:val="ListParagraph"/>
        <w:numPr>
          <w:ilvl w:val="0"/>
          <w:numId w:val="4"/>
        </w:numPr>
        <w:spacing w:before="240" w:line="240" w:lineRule="auto"/>
        <w:contextualSpacing w:val="0"/>
        <w:rPr>
          <w:szCs w:val="24"/>
          <w:lang w:val="en-AU"/>
        </w:rPr>
      </w:pPr>
      <w:r>
        <w:rPr>
          <w:szCs w:val="24"/>
          <w:lang w:val="en-AU"/>
        </w:rPr>
        <w:t xml:space="preserve">Under the annual report directions, directorates are required to </w:t>
      </w:r>
      <w:r w:rsidR="00460347">
        <w:rPr>
          <w:szCs w:val="24"/>
          <w:lang w:val="en-AU"/>
        </w:rPr>
        <w:t>provide</w:t>
      </w:r>
      <w:r>
        <w:rPr>
          <w:szCs w:val="24"/>
          <w:lang w:val="en-AU"/>
        </w:rPr>
        <w:t xml:space="preserve"> information about relevant Auditor-General reports issued in the reporting year, including summary details of the recommendations and the government’s response.</w:t>
      </w:r>
    </w:p>
    <w:p w:rsidR="00D83189" w:rsidRDefault="00D83189" w:rsidP="00D83189">
      <w:pPr>
        <w:pStyle w:val="ListParagraph"/>
        <w:numPr>
          <w:ilvl w:val="0"/>
          <w:numId w:val="4"/>
        </w:numPr>
        <w:contextualSpacing w:val="0"/>
      </w:pPr>
      <w:r>
        <w:t>Special attention will be required whenever Government/Directorate restructuring occurs to ensure that implementation is not overlooked.</w:t>
      </w:r>
    </w:p>
    <w:p w:rsidR="002D02A5" w:rsidRPr="00921AF6" w:rsidRDefault="002D02A5" w:rsidP="00482404">
      <w:pPr>
        <w:pStyle w:val="Heading2"/>
      </w:pPr>
      <w:bookmarkStart w:id="20" w:name="_Toc421177921"/>
      <w:r w:rsidRPr="00921AF6">
        <w:t>Review of report</w:t>
      </w:r>
      <w:r w:rsidR="00850F4D" w:rsidRPr="00921AF6">
        <w:t>s</w:t>
      </w:r>
      <w:r w:rsidRPr="00921AF6">
        <w:t xml:space="preserve"> by internal audit committees</w:t>
      </w:r>
      <w:bookmarkEnd w:id="20"/>
    </w:p>
    <w:p w:rsidR="002D02A5" w:rsidRPr="00921AF6" w:rsidRDefault="002D02A5" w:rsidP="00427977">
      <w:pPr>
        <w:pStyle w:val="ListParagraph"/>
        <w:numPr>
          <w:ilvl w:val="0"/>
          <w:numId w:val="4"/>
        </w:numPr>
        <w:contextualSpacing w:val="0"/>
      </w:pPr>
      <w:r w:rsidRPr="00921AF6">
        <w:t>The government has agreed Auditor-General reports will be reviewed by every directorate’s internal audit committee, whether or not the directorate was involved in the audit, with an internal action plan to be prepared as applicable.</w:t>
      </w:r>
    </w:p>
    <w:p w:rsidR="003A4B46" w:rsidRPr="003A4B46" w:rsidRDefault="00BE02AC" w:rsidP="00BE02AC">
      <w:pPr>
        <w:pStyle w:val="Heading1"/>
      </w:pPr>
      <w:bookmarkStart w:id="21" w:name="_Toc421177922"/>
      <w:r>
        <w:t>Contact f</w:t>
      </w:r>
      <w:r w:rsidR="003A4B46" w:rsidRPr="003A4B46">
        <w:t xml:space="preserve">or </w:t>
      </w:r>
      <w:r>
        <w:t>Further I</w:t>
      </w:r>
      <w:r w:rsidR="003A4B46" w:rsidRPr="003A4B46">
        <w:t>nformation</w:t>
      </w:r>
      <w:bookmarkEnd w:id="21"/>
    </w:p>
    <w:p w:rsidR="003A4B46" w:rsidRDefault="003A4B46" w:rsidP="003A4B46">
      <w:pPr>
        <w:spacing w:after="0" w:line="240" w:lineRule="auto"/>
        <w:rPr>
          <w:iCs/>
          <w:szCs w:val="24"/>
        </w:rPr>
      </w:pPr>
      <w:r>
        <w:rPr>
          <w:iCs/>
          <w:szCs w:val="24"/>
        </w:rPr>
        <w:t>Manager</w:t>
      </w:r>
    </w:p>
    <w:p w:rsidR="003A4B46" w:rsidRDefault="003A4B46" w:rsidP="003A4B46">
      <w:pPr>
        <w:spacing w:after="0" w:line="240" w:lineRule="auto"/>
        <w:rPr>
          <w:iCs/>
          <w:szCs w:val="24"/>
        </w:rPr>
      </w:pPr>
      <w:r>
        <w:rPr>
          <w:iCs/>
          <w:szCs w:val="24"/>
        </w:rPr>
        <w:t>Government Business Coordination</w:t>
      </w:r>
    </w:p>
    <w:p w:rsidR="003A4B46" w:rsidRDefault="00B16B9A" w:rsidP="003A4B46">
      <w:pPr>
        <w:spacing w:after="0" w:line="240" w:lineRule="auto"/>
        <w:rPr>
          <w:iCs/>
          <w:szCs w:val="24"/>
        </w:rPr>
      </w:pPr>
      <w:r>
        <w:rPr>
          <w:iCs/>
          <w:szCs w:val="24"/>
        </w:rPr>
        <w:t>Chief Minister,</w:t>
      </w:r>
      <w:r w:rsidR="003A4B46">
        <w:rPr>
          <w:iCs/>
          <w:szCs w:val="24"/>
        </w:rPr>
        <w:t xml:space="preserve"> Treasury</w:t>
      </w:r>
      <w:r>
        <w:rPr>
          <w:iCs/>
          <w:szCs w:val="24"/>
        </w:rPr>
        <w:t xml:space="preserve"> and Economic Development</w:t>
      </w:r>
      <w:r w:rsidR="003A4B46">
        <w:rPr>
          <w:iCs/>
          <w:szCs w:val="24"/>
        </w:rPr>
        <w:t xml:space="preserve"> Directorate</w:t>
      </w:r>
    </w:p>
    <w:p w:rsidR="00CE40CB" w:rsidRDefault="003A4B46" w:rsidP="003A4B46">
      <w:pPr>
        <w:spacing w:after="0" w:line="240" w:lineRule="auto"/>
        <w:rPr>
          <w:iCs/>
          <w:szCs w:val="24"/>
        </w:rPr>
      </w:pPr>
      <w:r>
        <w:rPr>
          <w:iCs/>
          <w:szCs w:val="24"/>
        </w:rPr>
        <w:t>Ph: 620</w:t>
      </w:r>
      <w:r w:rsidR="00756B04">
        <w:rPr>
          <w:iCs/>
          <w:szCs w:val="24"/>
        </w:rPr>
        <w:t xml:space="preserve"> </w:t>
      </w:r>
      <w:r>
        <w:rPr>
          <w:iCs/>
          <w:szCs w:val="24"/>
        </w:rPr>
        <w:t>50543</w:t>
      </w:r>
    </w:p>
    <w:p w:rsidR="00CE40CB" w:rsidRDefault="00CE40CB">
      <w:pPr>
        <w:spacing w:after="0" w:line="240" w:lineRule="auto"/>
        <w:rPr>
          <w:iCs/>
          <w:szCs w:val="24"/>
        </w:rPr>
      </w:pPr>
      <w:r>
        <w:rPr>
          <w:iCs/>
          <w:szCs w:val="24"/>
        </w:rPr>
        <w:br w:type="page"/>
      </w:r>
    </w:p>
    <w:p w:rsidR="005829D7" w:rsidRDefault="005829D7" w:rsidP="005829D7">
      <w:pPr>
        <w:spacing w:after="120"/>
        <w:jc w:val="right"/>
        <w:rPr>
          <w:b/>
        </w:rPr>
      </w:pPr>
      <w:r>
        <w:rPr>
          <w:b/>
        </w:rPr>
        <w:lastRenderedPageBreak/>
        <w:t>APPENDIX A</w:t>
      </w:r>
    </w:p>
    <w:p w:rsidR="00B84257" w:rsidRPr="009E46FE" w:rsidRDefault="00D20551" w:rsidP="00BE02AC">
      <w:pPr>
        <w:pStyle w:val="Heading1"/>
        <w:rPr>
          <w:rStyle w:val="SubtleEmphasis"/>
        </w:rPr>
      </w:pPr>
      <w:bookmarkStart w:id="22" w:name="_Toc421177923"/>
      <w:r>
        <w:t xml:space="preserve">Appendix A: </w:t>
      </w:r>
      <w:r w:rsidR="000346BB">
        <w:t>Responding to Recommendations</w:t>
      </w:r>
      <w:bookmarkEnd w:id="22"/>
    </w:p>
    <w:p w:rsidR="00CE40CB" w:rsidRPr="005829D7" w:rsidRDefault="00DD0D3A" w:rsidP="00CE40CB">
      <w:pPr>
        <w:pStyle w:val="ListParagraph"/>
        <w:numPr>
          <w:ilvl w:val="0"/>
          <w:numId w:val="25"/>
        </w:numPr>
        <w:spacing w:after="120"/>
        <w:contextualSpacing w:val="0"/>
      </w:pPr>
      <w:r>
        <w:t>Before a Government response can be determined, each of the recommendations needs to be assessed</w:t>
      </w:r>
      <w:r w:rsidR="00CE40CB" w:rsidRPr="005829D7">
        <w:t>:</w:t>
      </w:r>
    </w:p>
    <w:p w:rsidR="00CE40CB" w:rsidRPr="005829D7" w:rsidRDefault="00CE40CB" w:rsidP="00CE40CB">
      <w:pPr>
        <w:pStyle w:val="ListParagraph"/>
        <w:numPr>
          <w:ilvl w:val="1"/>
          <w:numId w:val="25"/>
        </w:numPr>
        <w:spacing w:after="120"/>
        <w:ind w:hanging="357"/>
        <w:contextualSpacing w:val="0"/>
      </w:pPr>
      <w:r w:rsidRPr="00DD0D3A">
        <w:rPr>
          <w:rStyle w:val="SubtleEmphasis"/>
          <w:u w:val="single"/>
          <w:lang w:val="en-AU"/>
        </w:rPr>
        <w:t>I</w:t>
      </w:r>
      <w:r w:rsidRPr="00DD0D3A">
        <w:rPr>
          <w:u w:val="single"/>
        </w:rPr>
        <w:t>dentification and consideration of policy issues</w:t>
      </w:r>
      <w:r w:rsidRPr="005829D7">
        <w:t>. The government’s policy position will be guided by existing polices relevant to the issues raised by the report. On certain matters it may be necessary/appropriate to seek the initial views of the relevant minister/s on particular policy matters.</w:t>
      </w:r>
    </w:p>
    <w:p w:rsidR="00CE40CB" w:rsidRPr="005829D7" w:rsidRDefault="00CE40CB" w:rsidP="00CE40CB">
      <w:pPr>
        <w:pStyle w:val="ListParagraph"/>
        <w:numPr>
          <w:ilvl w:val="1"/>
          <w:numId w:val="25"/>
        </w:numPr>
        <w:spacing w:after="120"/>
        <w:ind w:hanging="357"/>
        <w:contextualSpacing w:val="0"/>
      </w:pPr>
      <w:r w:rsidRPr="00DD0D3A">
        <w:rPr>
          <w:u w:val="single"/>
        </w:rPr>
        <w:t>Identification of budgetary implications</w:t>
      </w:r>
      <w:r w:rsidRPr="005829D7">
        <w:t>.</w:t>
      </w:r>
      <w:r w:rsidR="00DD0D3A">
        <w:t xml:space="preserve"> This involves consultation with Treasury to cost the financial and human resources necessary to implement the recommendations, and assessing the availability of necessary skills and knowledge within the ACT Public Service.</w:t>
      </w:r>
    </w:p>
    <w:p w:rsidR="00CE40CB" w:rsidRDefault="00CE40CB" w:rsidP="00CE40CB">
      <w:pPr>
        <w:pStyle w:val="ListParagraph"/>
        <w:numPr>
          <w:ilvl w:val="1"/>
          <w:numId w:val="25"/>
        </w:numPr>
        <w:ind w:left="1083" w:hanging="357"/>
        <w:contextualSpacing w:val="0"/>
      </w:pPr>
      <w:r w:rsidRPr="00DD0D3A">
        <w:rPr>
          <w:u w:val="single"/>
        </w:rPr>
        <w:t xml:space="preserve">Consideration of whole of government </w:t>
      </w:r>
      <w:r w:rsidR="00DD0D3A" w:rsidRPr="00DD0D3A">
        <w:rPr>
          <w:u w:val="single"/>
        </w:rPr>
        <w:t>issues</w:t>
      </w:r>
      <w:r w:rsidRPr="005829D7">
        <w:t>.</w:t>
      </w:r>
      <w:r w:rsidR="00752D32">
        <w:t xml:space="preserve"> It is necessary to consider issues from a whole of government perspective and to identify issues that may require coordination between agencies. The lead agency should contact relevant agencies as soon as possible to ensure that any necessary input is developed and provided in a timely manner.</w:t>
      </w:r>
    </w:p>
    <w:p w:rsidR="00DD0D3A" w:rsidRDefault="00DD0D3A" w:rsidP="00CE40CB">
      <w:pPr>
        <w:pStyle w:val="ListParagraph"/>
        <w:numPr>
          <w:ilvl w:val="1"/>
          <w:numId w:val="25"/>
        </w:numPr>
        <w:ind w:left="1083" w:hanging="357"/>
        <w:contextualSpacing w:val="0"/>
      </w:pPr>
      <w:r>
        <w:rPr>
          <w:u w:val="single"/>
        </w:rPr>
        <w:t>Review of previous related matters</w:t>
      </w:r>
      <w:r>
        <w:t>. It may be useful to give consideration to previous Government responses to similar or related matters.</w:t>
      </w:r>
    </w:p>
    <w:p w:rsidR="00CE40CB" w:rsidRPr="005829D7" w:rsidRDefault="00DD0D3A" w:rsidP="00CE40CB">
      <w:pPr>
        <w:pStyle w:val="ListParagraph"/>
        <w:numPr>
          <w:ilvl w:val="0"/>
          <w:numId w:val="25"/>
        </w:numPr>
        <w:spacing w:after="120"/>
        <w:ind w:hanging="357"/>
        <w:contextualSpacing w:val="0"/>
      </w:pPr>
      <w:r>
        <w:t>The Government</w:t>
      </w:r>
      <w:r w:rsidR="00CE40CB" w:rsidRPr="005829D7">
        <w:t xml:space="preserve"> position should be </w:t>
      </w:r>
      <w:r>
        <w:t xml:space="preserve">clearly articulated and </w:t>
      </w:r>
      <w:r w:rsidR="00CE40CB" w:rsidRPr="005829D7">
        <w:t xml:space="preserve">defensible, particularly where it is proposed not to support a particular issue. </w:t>
      </w:r>
      <w:r>
        <w:t xml:space="preserve">Responses against a given </w:t>
      </w:r>
      <w:r w:rsidR="00E66EB3">
        <w:t>recommendation</w:t>
      </w:r>
      <w:r w:rsidR="00CE40CB" w:rsidRPr="005829D7">
        <w:t xml:space="preserve"> generally fall within one of four categories:</w:t>
      </w:r>
    </w:p>
    <w:p w:rsidR="00CE40CB" w:rsidRPr="005829D7" w:rsidRDefault="00CE40CB" w:rsidP="00CE40CB">
      <w:pPr>
        <w:pStyle w:val="ListParagraph"/>
        <w:numPr>
          <w:ilvl w:val="1"/>
          <w:numId w:val="25"/>
        </w:numPr>
        <w:spacing w:after="120"/>
        <w:ind w:hanging="357"/>
        <w:contextualSpacing w:val="0"/>
      </w:pPr>
      <w:r w:rsidRPr="005829D7">
        <w:rPr>
          <w:u w:val="single"/>
        </w:rPr>
        <w:t>Agreed</w:t>
      </w:r>
      <w:r w:rsidRPr="005829D7">
        <w:t xml:space="preserve"> – </w:t>
      </w:r>
      <w:r w:rsidRPr="005829D7">
        <w:rPr>
          <w:i/>
        </w:rPr>
        <w:t>relevant details of the proposed implementation strategy should be included with the response.</w:t>
      </w:r>
    </w:p>
    <w:p w:rsidR="00CE40CB" w:rsidRPr="005829D7" w:rsidRDefault="00CE40CB" w:rsidP="00CE40CB">
      <w:pPr>
        <w:pStyle w:val="ListParagraph"/>
        <w:numPr>
          <w:ilvl w:val="1"/>
          <w:numId w:val="25"/>
        </w:numPr>
        <w:spacing w:after="120"/>
        <w:ind w:hanging="357"/>
        <w:contextualSpacing w:val="0"/>
        <w:rPr>
          <w:i/>
        </w:rPr>
      </w:pPr>
      <w:r w:rsidRPr="005829D7">
        <w:rPr>
          <w:u w:val="single"/>
        </w:rPr>
        <w:t>Agreed-in-principle</w:t>
      </w:r>
      <w:r w:rsidRPr="005829D7">
        <w:t xml:space="preserve"> – </w:t>
      </w:r>
      <w:r w:rsidRPr="005829D7">
        <w:rPr>
          <w:i/>
        </w:rPr>
        <w:t>this may be appropriate where the government generally supports a finding or policy approach, but does not necessarily agree with particular specifications in the report.</w:t>
      </w:r>
    </w:p>
    <w:p w:rsidR="00CE40CB" w:rsidRPr="005829D7" w:rsidRDefault="00CE40CB" w:rsidP="00CE40CB">
      <w:pPr>
        <w:pStyle w:val="ListParagraph"/>
        <w:numPr>
          <w:ilvl w:val="1"/>
          <w:numId w:val="25"/>
        </w:numPr>
        <w:spacing w:after="120"/>
        <w:ind w:hanging="357"/>
        <w:contextualSpacing w:val="0"/>
      </w:pPr>
      <w:r w:rsidRPr="005829D7">
        <w:rPr>
          <w:u w:val="single"/>
        </w:rPr>
        <w:t>Not agreed</w:t>
      </w:r>
      <w:r w:rsidRPr="005829D7">
        <w:t xml:space="preserve"> – </w:t>
      </w:r>
      <w:r w:rsidRPr="005829D7">
        <w:rPr>
          <w:i/>
        </w:rPr>
        <w:t>a detailed explanation should be included whenever a position of not agreed is proposed. It may be appropriate to offer alternative solutions/approaches.</w:t>
      </w:r>
    </w:p>
    <w:p w:rsidR="005829D7" w:rsidRDefault="00CE40CB" w:rsidP="00CE40CB">
      <w:pPr>
        <w:pStyle w:val="ListParagraph"/>
        <w:numPr>
          <w:ilvl w:val="1"/>
          <w:numId w:val="25"/>
        </w:numPr>
        <w:spacing w:after="120"/>
        <w:ind w:hanging="357"/>
        <w:contextualSpacing w:val="0"/>
        <w:rPr>
          <w:i/>
        </w:rPr>
      </w:pPr>
      <w:r w:rsidRPr="005829D7">
        <w:rPr>
          <w:u w:val="single"/>
        </w:rPr>
        <w:t>Noted</w:t>
      </w:r>
      <w:r w:rsidRPr="005829D7">
        <w:t xml:space="preserve"> – </w:t>
      </w:r>
      <w:r w:rsidRPr="005829D7">
        <w:rPr>
          <w:i/>
        </w:rPr>
        <w:t>this may be appropriate where the government considers no specific action or response is necessary.</w:t>
      </w:r>
    </w:p>
    <w:p w:rsidR="005829D7" w:rsidRDefault="005829D7">
      <w:pPr>
        <w:spacing w:after="0" w:line="240" w:lineRule="auto"/>
        <w:rPr>
          <w:i/>
        </w:rPr>
      </w:pPr>
      <w:r>
        <w:rPr>
          <w:i/>
        </w:rPr>
        <w:br w:type="page"/>
      </w:r>
    </w:p>
    <w:p w:rsidR="00F57457" w:rsidRDefault="00F57457" w:rsidP="00F57457">
      <w:pPr>
        <w:spacing w:after="0" w:line="240" w:lineRule="auto"/>
        <w:jc w:val="right"/>
        <w:rPr>
          <w:b/>
        </w:rPr>
      </w:pPr>
      <w:r>
        <w:rPr>
          <w:b/>
        </w:rPr>
        <w:lastRenderedPageBreak/>
        <w:t>APPENDIX B</w:t>
      </w:r>
    </w:p>
    <w:p w:rsidR="00F57457" w:rsidRPr="009E46FE" w:rsidRDefault="00F57457" w:rsidP="00BE02AC">
      <w:pPr>
        <w:pStyle w:val="Heading1"/>
        <w:rPr>
          <w:rStyle w:val="SubtleEmphasis"/>
        </w:rPr>
      </w:pPr>
      <w:bookmarkStart w:id="23" w:name="_Toc421177924"/>
      <w:r>
        <w:t xml:space="preserve">Appendix B: Format for the </w:t>
      </w:r>
      <w:r w:rsidRPr="005829D7">
        <w:t>Government Response</w:t>
      </w:r>
      <w:bookmarkEnd w:id="23"/>
    </w:p>
    <w:p w:rsidR="000346BB" w:rsidRDefault="000346BB" w:rsidP="000346BB">
      <w:pPr>
        <w:spacing w:before="120" w:after="0"/>
      </w:pPr>
    </w:p>
    <w:p w:rsidR="00F57457" w:rsidRPr="00F57457" w:rsidRDefault="00F57457" w:rsidP="00F57457">
      <w:pPr>
        <w:pStyle w:val="Header"/>
        <w:pBdr>
          <w:top w:val="double" w:sz="4" w:space="1" w:color="auto"/>
          <w:left w:val="double" w:sz="4" w:space="4" w:color="auto"/>
          <w:bottom w:val="double" w:sz="4" w:space="1" w:color="auto"/>
          <w:right w:val="double" w:sz="4" w:space="4" w:color="auto"/>
        </w:pBd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sidRPr="00F57457">
        <w:rPr>
          <w:rFonts w:ascii="Arial" w:hAnsi="Arial" w:cs="Arial"/>
          <w:b/>
          <w:szCs w:val="24"/>
        </w:rPr>
        <w:t>[year]</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sidRPr="00F57457">
        <w:rPr>
          <w:rFonts w:ascii="Arial" w:hAnsi="Arial" w:cs="Arial"/>
          <w:b/>
          <w:szCs w:val="24"/>
        </w:rPr>
        <w:t>THE LEGISLATIVE ASSEMBLY FOR</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sidRPr="00F57457">
        <w:rPr>
          <w:rFonts w:ascii="Arial" w:hAnsi="Arial" w:cs="Arial"/>
          <w:b/>
          <w:szCs w:val="24"/>
        </w:rPr>
        <w:t>THE AUSTRALIAN CAPITAL TERRITORY</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sidRPr="00F57457">
        <w:rPr>
          <w:rFonts w:ascii="Arial" w:hAnsi="Arial" w:cs="Arial"/>
          <w:b/>
          <w:szCs w:val="24"/>
        </w:rPr>
        <w:t xml:space="preserve">GOVERNMENT </w:t>
      </w:r>
      <w:r>
        <w:rPr>
          <w:rFonts w:ascii="Arial" w:hAnsi="Arial" w:cs="Arial"/>
          <w:b/>
          <w:szCs w:val="24"/>
        </w:rPr>
        <w:t>RESPONSE</w:t>
      </w:r>
      <w:r w:rsidR="00E0471B">
        <w:rPr>
          <w:rFonts w:ascii="Arial" w:hAnsi="Arial" w:cs="Arial"/>
          <w:b/>
          <w:szCs w:val="24"/>
        </w:rPr>
        <w:t xml:space="preserve"> TO</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E0471B"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caps/>
          <w:szCs w:val="24"/>
        </w:rPr>
      </w:pPr>
      <w:r w:rsidRPr="00F57457">
        <w:rPr>
          <w:rFonts w:ascii="Arial" w:hAnsi="Arial" w:cs="Arial"/>
          <w:b/>
          <w:caps/>
          <w:szCs w:val="24"/>
        </w:rPr>
        <w:t>Auditor General’s Report</w:t>
      </w:r>
    </w:p>
    <w:p w:rsidR="00E0471B" w:rsidRDefault="00E0471B"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caps/>
          <w:szCs w:val="24"/>
        </w:rPr>
      </w:pPr>
      <w:r>
        <w:rPr>
          <w:rFonts w:ascii="Arial" w:hAnsi="Arial" w:cs="Arial"/>
          <w:b/>
          <w:caps/>
          <w:szCs w:val="24"/>
        </w:rPr>
        <w:t>or</w:t>
      </w:r>
    </w:p>
    <w:p w:rsidR="00E0471B" w:rsidRDefault="00E0471B"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caps/>
          <w:szCs w:val="24"/>
        </w:rPr>
      </w:pPr>
      <w:r>
        <w:rPr>
          <w:rFonts w:ascii="Arial" w:hAnsi="Arial" w:cs="Arial"/>
          <w:b/>
          <w:caps/>
          <w:szCs w:val="24"/>
        </w:rPr>
        <w:t>Public Accounts committee’s Report</w:t>
      </w:r>
    </w:p>
    <w:p w:rsidR="00E0471B" w:rsidRPr="00E0471B" w:rsidRDefault="00E0471B"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Pr>
          <w:rFonts w:ascii="Arial" w:hAnsi="Arial" w:cs="Arial"/>
          <w:b/>
          <w:caps/>
          <w:szCs w:val="24"/>
        </w:rPr>
        <w:t>[</w:t>
      </w:r>
      <w:r>
        <w:rPr>
          <w:rFonts w:ascii="Arial" w:hAnsi="Arial" w:cs="Arial"/>
          <w:b/>
          <w:szCs w:val="24"/>
        </w:rPr>
        <w:t>delete whichever does not apply]</w:t>
      </w:r>
    </w:p>
    <w:p w:rsidR="00E0471B" w:rsidRDefault="00E0471B"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r w:rsidRPr="00F57457">
        <w:rPr>
          <w:rFonts w:ascii="Arial" w:hAnsi="Arial" w:cs="Arial"/>
          <w:b/>
          <w:szCs w:val="24"/>
        </w:rPr>
        <w:t>No … [Report Subject]</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center"/>
        <w:rPr>
          <w:rFonts w:ascii="Arial" w:hAnsi="Arial" w:cs="Arial"/>
          <w:b/>
          <w:szCs w:val="24"/>
        </w:rPr>
      </w:pP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right"/>
        <w:rPr>
          <w:rFonts w:ascii="Arial" w:hAnsi="Arial" w:cs="Arial"/>
          <w:b/>
          <w:szCs w:val="24"/>
        </w:rPr>
      </w:pPr>
      <w:r w:rsidRPr="00F57457">
        <w:rPr>
          <w:rFonts w:ascii="Arial" w:hAnsi="Arial" w:cs="Arial"/>
          <w:b/>
          <w:szCs w:val="24"/>
        </w:rPr>
        <w:t>Presented by</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right"/>
        <w:rPr>
          <w:rFonts w:ascii="Arial" w:hAnsi="Arial" w:cs="Arial"/>
          <w:b/>
          <w:szCs w:val="24"/>
        </w:rPr>
      </w:pPr>
      <w:r w:rsidRPr="00F57457">
        <w:rPr>
          <w:rFonts w:ascii="Arial" w:hAnsi="Arial" w:cs="Arial"/>
          <w:b/>
          <w:szCs w:val="24"/>
        </w:rPr>
        <w:t>[Minister's name]</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right"/>
        <w:rPr>
          <w:rFonts w:ascii="Arial" w:hAnsi="Arial" w:cs="Arial"/>
          <w:b/>
          <w:szCs w:val="24"/>
        </w:rPr>
      </w:pPr>
      <w:r w:rsidRPr="00F57457">
        <w:rPr>
          <w:rFonts w:ascii="Arial" w:hAnsi="Arial" w:cs="Arial"/>
          <w:b/>
          <w:szCs w:val="24"/>
        </w:rPr>
        <w:t>[Minister's portfolio]</w:t>
      </w:r>
    </w:p>
    <w:p w:rsidR="00F57457" w:rsidRPr="00F57457" w:rsidRDefault="00F57457" w:rsidP="00F57457">
      <w:pPr>
        <w:pBdr>
          <w:top w:val="double" w:sz="4" w:space="1" w:color="auto"/>
          <w:left w:val="double" w:sz="4" w:space="4" w:color="auto"/>
          <w:bottom w:val="double" w:sz="4" w:space="1" w:color="auto"/>
          <w:right w:val="double" w:sz="4" w:space="4" w:color="auto"/>
        </w:pBdr>
        <w:spacing w:after="0"/>
        <w:jc w:val="right"/>
        <w:rPr>
          <w:szCs w:val="24"/>
        </w:rPr>
      </w:pPr>
    </w:p>
    <w:p w:rsidR="00F57457" w:rsidRDefault="00F57457" w:rsidP="00F57457">
      <w:pPr>
        <w:spacing w:after="0" w:line="240" w:lineRule="auto"/>
        <w:rPr>
          <w:b/>
        </w:rPr>
      </w:pPr>
      <w:r>
        <w:rPr>
          <w:b/>
        </w:rPr>
        <w:br w:type="page"/>
      </w:r>
    </w:p>
    <w:p w:rsidR="00E0471B" w:rsidRPr="00E0471B" w:rsidRDefault="00E0471B" w:rsidP="00E0471B">
      <w:pPr>
        <w:pStyle w:val="BodyText"/>
        <w:pBdr>
          <w:top w:val="single" w:sz="4" w:space="1" w:color="auto"/>
          <w:left w:val="single" w:sz="4" w:space="4" w:color="auto"/>
          <w:bottom w:val="single" w:sz="4" w:space="1" w:color="auto"/>
          <w:right w:val="single" w:sz="4" w:space="4" w:color="auto"/>
        </w:pBdr>
        <w:spacing w:after="0"/>
        <w:rPr>
          <w:szCs w:val="24"/>
        </w:rPr>
      </w:pPr>
    </w:p>
    <w:p w:rsidR="00E0471B" w:rsidRPr="00E0471B" w:rsidRDefault="00E0471B" w:rsidP="00E0471B">
      <w:pPr>
        <w:pStyle w:val="BodyText"/>
        <w:pBdr>
          <w:top w:val="single" w:sz="4" w:space="1" w:color="auto"/>
          <w:left w:val="single" w:sz="4" w:space="4" w:color="auto"/>
          <w:bottom w:val="single" w:sz="4" w:space="1" w:color="auto"/>
          <w:right w:val="single" w:sz="4" w:space="4" w:color="auto"/>
        </w:pBdr>
        <w:spacing w:after="0"/>
        <w:rPr>
          <w:szCs w:val="24"/>
        </w:rPr>
      </w:pPr>
      <w:r w:rsidRPr="00E0471B">
        <w:rPr>
          <w:szCs w:val="24"/>
        </w:rPr>
        <w:t xml:space="preserve">Government </w:t>
      </w:r>
      <w:r>
        <w:rPr>
          <w:szCs w:val="24"/>
        </w:rPr>
        <w:t>Response [title]</w:t>
      </w:r>
    </w:p>
    <w:p w:rsidR="00E0471B" w:rsidRPr="00E0471B" w:rsidRDefault="00E0471B" w:rsidP="00E0471B">
      <w:pPr>
        <w:pStyle w:val="BodyText"/>
        <w:pBdr>
          <w:top w:val="single" w:sz="4" w:space="1" w:color="auto"/>
          <w:left w:val="single" w:sz="4" w:space="4" w:color="auto"/>
          <w:bottom w:val="single" w:sz="4" w:space="1" w:color="auto"/>
          <w:right w:val="single" w:sz="4" w:space="4" w:color="auto"/>
        </w:pBdr>
        <w:spacing w:after="0"/>
        <w:rPr>
          <w:szCs w:val="24"/>
        </w:rPr>
      </w:pPr>
    </w:p>
    <w:p w:rsidR="00E0471B" w:rsidRPr="00E0471B" w:rsidRDefault="00E0471B" w:rsidP="00E0471B">
      <w:pPr>
        <w:pStyle w:val="BodyText"/>
        <w:pBdr>
          <w:top w:val="single" w:sz="4" w:space="1" w:color="auto"/>
          <w:left w:val="single" w:sz="4" w:space="4" w:color="auto"/>
          <w:bottom w:val="single" w:sz="4" w:space="1" w:color="auto"/>
          <w:right w:val="single" w:sz="4" w:space="4" w:color="auto"/>
        </w:pBdr>
        <w:spacing w:after="0"/>
        <w:rPr>
          <w:szCs w:val="24"/>
        </w:rPr>
      </w:pPr>
    </w:p>
    <w:p w:rsidR="00E0471B" w:rsidRPr="00E0471B" w:rsidRDefault="00E0471B" w:rsidP="00E0471B">
      <w:pPr>
        <w:pStyle w:val="Heading5"/>
        <w:pBdr>
          <w:top w:val="single" w:sz="4" w:space="1" w:color="auto"/>
          <w:left w:val="single" w:sz="4" w:space="4" w:color="auto"/>
          <w:bottom w:val="single" w:sz="4" w:space="1" w:color="auto"/>
          <w:right w:val="single" w:sz="4" w:space="4" w:color="auto"/>
        </w:pBdr>
        <w:spacing w:before="0"/>
        <w:rPr>
          <w:color w:val="auto"/>
          <w:szCs w:val="24"/>
          <w:u w:val="single"/>
        </w:rPr>
      </w:pPr>
      <w:r w:rsidRPr="00E0471B">
        <w:rPr>
          <w:color w:val="auto"/>
          <w:szCs w:val="24"/>
          <w:u w:val="single"/>
        </w:rPr>
        <w:t>Introduction/Background</w:t>
      </w: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rPr>
      </w:pPr>
    </w:p>
    <w:p w:rsidR="00E0471B" w:rsidRPr="00D20551" w:rsidRDefault="00E0471B" w:rsidP="00E0471B">
      <w:pPr>
        <w:pStyle w:val="Heading7"/>
        <w:pBdr>
          <w:top w:val="single" w:sz="4" w:space="1" w:color="auto"/>
          <w:left w:val="single" w:sz="4" w:space="4" w:color="auto"/>
          <w:bottom w:val="single" w:sz="4" w:space="1" w:color="auto"/>
          <w:right w:val="single" w:sz="4" w:space="4" w:color="auto"/>
        </w:pBdr>
        <w:rPr>
          <w:bCs/>
          <w:szCs w:val="24"/>
        </w:rPr>
      </w:pPr>
      <w:r w:rsidRPr="00D20551">
        <w:rPr>
          <w:bCs/>
          <w:szCs w:val="24"/>
        </w:rPr>
        <w:t>&lt;Usually not more than one page.&gt;</w:t>
      </w:r>
    </w:p>
    <w:p w:rsidR="00E0471B" w:rsidRPr="00E0471B" w:rsidRDefault="00E0471B" w:rsidP="00E0471B">
      <w:pPr>
        <w:pStyle w:val="Heading8"/>
        <w:pBdr>
          <w:top w:val="single" w:sz="4" w:space="1" w:color="auto"/>
          <w:left w:val="single" w:sz="4" w:space="4" w:color="auto"/>
          <w:bottom w:val="single" w:sz="4" w:space="1" w:color="auto"/>
          <w:right w:val="single" w:sz="4" w:space="4" w:color="auto"/>
        </w:pBdr>
        <w:rPr>
          <w:bCs/>
          <w:sz w:val="24"/>
          <w:szCs w:val="24"/>
        </w:rPr>
      </w:pPr>
    </w:p>
    <w:p w:rsidR="00E0471B" w:rsidRPr="00E0471B" w:rsidRDefault="00E0471B" w:rsidP="00E0471B">
      <w:pPr>
        <w:pStyle w:val="Heading8"/>
        <w:pBdr>
          <w:top w:val="single" w:sz="4" w:space="1" w:color="auto"/>
          <w:left w:val="single" w:sz="4" w:space="4" w:color="auto"/>
          <w:bottom w:val="single" w:sz="4" w:space="1" w:color="auto"/>
          <w:right w:val="single" w:sz="4" w:space="4" w:color="auto"/>
        </w:pBdr>
        <w:rPr>
          <w:bCs/>
          <w:sz w:val="24"/>
          <w:szCs w:val="24"/>
        </w:rPr>
      </w:pPr>
    </w:p>
    <w:p w:rsidR="00E0471B" w:rsidRPr="00D20551" w:rsidRDefault="00E0471B" w:rsidP="00E0471B">
      <w:pPr>
        <w:pStyle w:val="Heading8"/>
        <w:pBdr>
          <w:top w:val="single" w:sz="4" w:space="1" w:color="auto"/>
          <w:left w:val="single" w:sz="4" w:space="4" w:color="auto"/>
          <w:bottom w:val="single" w:sz="4" w:space="1" w:color="auto"/>
          <w:right w:val="single" w:sz="4" w:space="4" w:color="auto"/>
        </w:pBdr>
        <w:rPr>
          <w:b/>
          <w:bCs/>
          <w:sz w:val="24"/>
          <w:szCs w:val="24"/>
          <w:u w:val="single"/>
        </w:rPr>
      </w:pPr>
      <w:r w:rsidRPr="00D20551">
        <w:rPr>
          <w:b/>
          <w:bCs/>
          <w:sz w:val="24"/>
          <w:szCs w:val="24"/>
          <w:u w:val="single"/>
        </w:rPr>
        <w:t>Government Position on Recommendations/Findings</w:t>
      </w: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rPr>
      </w:pPr>
    </w:p>
    <w:p w:rsidR="00E0471B" w:rsidRPr="00D20551" w:rsidRDefault="00D20551" w:rsidP="00E0471B">
      <w:pPr>
        <w:pStyle w:val="Heading5"/>
        <w:pBdr>
          <w:top w:val="single" w:sz="4" w:space="1" w:color="auto"/>
          <w:left w:val="single" w:sz="4" w:space="4" w:color="auto"/>
          <w:bottom w:val="single" w:sz="4" w:space="1" w:color="auto"/>
          <w:right w:val="single" w:sz="4" w:space="4" w:color="auto"/>
        </w:pBdr>
        <w:spacing w:before="0"/>
        <w:rPr>
          <w:bCs w:val="0"/>
          <w:color w:val="auto"/>
          <w:szCs w:val="24"/>
        </w:rPr>
      </w:pPr>
      <w:r>
        <w:rPr>
          <w:bCs w:val="0"/>
          <w:color w:val="auto"/>
          <w:szCs w:val="24"/>
        </w:rPr>
        <w:t>Recommendation 1</w:t>
      </w:r>
    </w:p>
    <w:p w:rsidR="00E0471B" w:rsidRPr="00E0471B" w:rsidRDefault="00D20551" w:rsidP="00E0471B">
      <w:pPr>
        <w:pBdr>
          <w:top w:val="single" w:sz="4" w:space="1" w:color="auto"/>
          <w:left w:val="single" w:sz="4" w:space="4" w:color="auto"/>
          <w:bottom w:val="single" w:sz="4" w:space="1" w:color="auto"/>
          <w:right w:val="single" w:sz="4" w:space="4" w:color="auto"/>
        </w:pBdr>
        <w:spacing w:after="0"/>
        <w:rPr>
          <w:szCs w:val="24"/>
        </w:rPr>
      </w:pPr>
      <w:r>
        <w:rPr>
          <w:szCs w:val="24"/>
        </w:rPr>
        <w:t>[full text of recommendation]</w:t>
      </w: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rPr>
      </w:pPr>
    </w:p>
    <w:p w:rsidR="00E0471B" w:rsidRPr="00D20551" w:rsidRDefault="00E0471B" w:rsidP="00E0471B">
      <w:pPr>
        <w:pStyle w:val="Heading6"/>
        <w:pBdr>
          <w:top w:val="single" w:sz="4" w:space="1" w:color="auto"/>
          <w:left w:val="single" w:sz="4" w:space="4" w:color="auto"/>
          <w:bottom w:val="single" w:sz="4" w:space="1" w:color="auto"/>
          <w:right w:val="single" w:sz="4" w:space="4" w:color="auto"/>
        </w:pBdr>
        <w:rPr>
          <w:b w:val="0"/>
          <w:bCs w:val="0"/>
          <w:color w:val="auto"/>
          <w:szCs w:val="24"/>
          <w:u w:val="single"/>
        </w:rPr>
      </w:pPr>
      <w:r w:rsidRPr="00D20551">
        <w:rPr>
          <w:b w:val="0"/>
          <w:bCs w:val="0"/>
          <w:color w:val="auto"/>
          <w:szCs w:val="24"/>
          <w:u w:val="single"/>
        </w:rPr>
        <w:t>Government Position</w:t>
      </w:r>
    </w:p>
    <w:p w:rsidR="00E0471B" w:rsidRPr="00D20551" w:rsidRDefault="00D20551" w:rsidP="00E0471B">
      <w:pPr>
        <w:pBdr>
          <w:top w:val="single" w:sz="4" w:space="1" w:color="auto"/>
          <w:left w:val="single" w:sz="4" w:space="4" w:color="auto"/>
          <w:bottom w:val="single" w:sz="4" w:space="1" w:color="auto"/>
          <w:right w:val="single" w:sz="4" w:space="4" w:color="auto"/>
        </w:pBdr>
        <w:spacing w:after="0"/>
        <w:rPr>
          <w:szCs w:val="24"/>
          <w:lang w:val="en-GB"/>
        </w:rPr>
      </w:pPr>
      <w:r>
        <w:rPr>
          <w:szCs w:val="24"/>
          <w:lang w:val="en-GB"/>
        </w:rPr>
        <w:t>[</w:t>
      </w:r>
      <w:r w:rsidR="00E0471B" w:rsidRPr="00D20551">
        <w:rPr>
          <w:szCs w:val="24"/>
          <w:lang w:val="en-GB"/>
        </w:rPr>
        <w:t>Summary resp</w:t>
      </w:r>
      <w:r>
        <w:rPr>
          <w:szCs w:val="24"/>
          <w:lang w:val="en-GB"/>
        </w:rPr>
        <w:t>onse, eg 'agreed', 'not agreed']</w:t>
      </w:r>
    </w:p>
    <w:p w:rsidR="00E0471B" w:rsidRPr="00D20551" w:rsidRDefault="00D20551" w:rsidP="00E0471B">
      <w:pPr>
        <w:pBdr>
          <w:top w:val="single" w:sz="4" w:space="1" w:color="auto"/>
          <w:left w:val="single" w:sz="4" w:space="4" w:color="auto"/>
          <w:bottom w:val="single" w:sz="4" w:space="1" w:color="auto"/>
          <w:right w:val="single" w:sz="4" w:space="4" w:color="auto"/>
        </w:pBdr>
        <w:spacing w:after="0"/>
        <w:rPr>
          <w:szCs w:val="24"/>
          <w:lang w:val="en-GB"/>
        </w:rPr>
      </w:pPr>
      <w:r>
        <w:rPr>
          <w:szCs w:val="24"/>
          <w:lang w:val="en-GB"/>
        </w:rPr>
        <w:t>[</w:t>
      </w:r>
      <w:r w:rsidR="00E0471B" w:rsidRPr="00D20551">
        <w:rPr>
          <w:szCs w:val="24"/>
          <w:lang w:val="en-GB"/>
        </w:rPr>
        <w:t>detailed explanation of Government position.  Particular attention should be paid to recommendations that a</w:t>
      </w:r>
      <w:r>
        <w:rPr>
          <w:szCs w:val="24"/>
          <w:lang w:val="en-GB"/>
        </w:rPr>
        <w:t>re not proposed to be supported]</w:t>
      </w: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lang w:val="en-GB"/>
        </w:rPr>
      </w:pP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lang w:val="en-GB"/>
        </w:rPr>
      </w:pPr>
    </w:p>
    <w:p w:rsidR="00E0471B" w:rsidRPr="00D20551" w:rsidRDefault="00D20551" w:rsidP="00E0471B">
      <w:pPr>
        <w:pStyle w:val="Heading5"/>
        <w:pBdr>
          <w:top w:val="single" w:sz="4" w:space="1" w:color="auto"/>
          <w:left w:val="single" w:sz="4" w:space="4" w:color="auto"/>
          <w:bottom w:val="single" w:sz="4" w:space="1" w:color="auto"/>
          <w:right w:val="single" w:sz="4" w:space="4" w:color="auto"/>
        </w:pBdr>
        <w:spacing w:before="0"/>
        <w:rPr>
          <w:bCs w:val="0"/>
          <w:color w:val="auto"/>
          <w:szCs w:val="24"/>
        </w:rPr>
      </w:pPr>
      <w:r>
        <w:rPr>
          <w:bCs w:val="0"/>
          <w:color w:val="auto"/>
          <w:szCs w:val="24"/>
        </w:rPr>
        <w:t>[Apply the above format for subsequent recommendations, and for any findings which warrant a specific response]</w:t>
      </w: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lang w:val="en-GB"/>
        </w:rPr>
      </w:pPr>
    </w:p>
    <w:p w:rsidR="00E0471B" w:rsidRPr="00E0471B" w:rsidRDefault="00E0471B" w:rsidP="00E0471B">
      <w:pPr>
        <w:pBdr>
          <w:top w:val="single" w:sz="4" w:space="1" w:color="auto"/>
          <w:left w:val="single" w:sz="4" w:space="4" w:color="auto"/>
          <w:bottom w:val="single" w:sz="4" w:space="1" w:color="auto"/>
          <w:right w:val="single" w:sz="4" w:space="4" w:color="auto"/>
        </w:pBdr>
        <w:spacing w:after="0"/>
        <w:rPr>
          <w:szCs w:val="24"/>
          <w:lang w:val="en-GB"/>
        </w:rPr>
      </w:pPr>
    </w:p>
    <w:p w:rsidR="00E0471B" w:rsidRDefault="00E0471B">
      <w:pPr>
        <w:spacing w:after="0" w:line="240" w:lineRule="auto"/>
        <w:rPr>
          <w:b/>
        </w:rPr>
      </w:pPr>
      <w:r>
        <w:rPr>
          <w:b/>
        </w:rPr>
        <w:br w:type="page"/>
      </w:r>
    </w:p>
    <w:p w:rsidR="005829D7" w:rsidRDefault="00D20551" w:rsidP="005829D7">
      <w:pPr>
        <w:spacing w:after="120"/>
        <w:jc w:val="right"/>
        <w:rPr>
          <w:b/>
        </w:rPr>
      </w:pPr>
      <w:r>
        <w:rPr>
          <w:b/>
        </w:rPr>
        <w:lastRenderedPageBreak/>
        <w:t>APPENDIX C</w:t>
      </w:r>
    </w:p>
    <w:p w:rsidR="00E66EB3" w:rsidRPr="009E46FE" w:rsidRDefault="00D20551" w:rsidP="00BE02AC">
      <w:pPr>
        <w:pStyle w:val="Heading1"/>
        <w:rPr>
          <w:rStyle w:val="SubtleEmphasis"/>
        </w:rPr>
      </w:pPr>
      <w:bookmarkStart w:id="24" w:name="_Toc421177925"/>
      <w:r>
        <w:t xml:space="preserve">Appendix C: </w:t>
      </w:r>
      <w:r w:rsidR="00E66EB3">
        <w:t>Development of a Whole of Government Action Plan</w:t>
      </w:r>
      <w:bookmarkEnd w:id="24"/>
    </w:p>
    <w:p w:rsidR="00E66EB3" w:rsidRDefault="00E66EB3" w:rsidP="00E66EB3">
      <w:pPr>
        <w:spacing w:after="120"/>
      </w:pPr>
      <w:r>
        <w:t>A whole of government action plan needs to be developed to set out the process for implementing the recommendations/findings that are accepted by the Government. The action plan does not form part of the Government Response, but the details provided in the action plan may be reflected within the individual responses to agreed recommendations.</w:t>
      </w:r>
    </w:p>
    <w:p w:rsidR="005829D7" w:rsidRPr="005829D7" w:rsidRDefault="005829D7" w:rsidP="00E66EB3">
      <w:pPr>
        <w:spacing w:after="120"/>
      </w:pPr>
      <w:r w:rsidRPr="005829D7">
        <w:t xml:space="preserve">There is no specific requirement as to the form in which an action plan is to be presented, however it should </w:t>
      </w:r>
      <w:r w:rsidR="004B60F3">
        <w:t>include the following</w:t>
      </w:r>
      <w:r w:rsidRPr="005829D7">
        <w:t xml:space="preserve">: </w:t>
      </w:r>
    </w:p>
    <w:p w:rsidR="004B60F3" w:rsidRDefault="004B60F3" w:rsidP="004B60F3">
      <w:pPr>
        <w:pStyle w:val="ListParagraph"/>
        <w:numPr>
          <w:ilvl w:val="0"/>
          <w:numId w:val="27"/>
        </w:numPr>
        <w:spacing w:after="120"/>
        <w:contextualSpacing w:val="0"/>
      </w:pPr>
      <w:r>
        <w:t>Subject: Auditor-General’s Report No.[X] – [Title]</w:t>
      </w:r>
    </w:p>
    <w:p w:rsidR="004B60F3" w:rsidRDefault="004B60F3" w:rsidP="004B60F3">
      <w:pPr>
        <w:pStyle w:val="ListParagraph"/>
        <w:numPr>
          <w:ilvl w:val="0"/>
          <w:numId w:val="27"/>
        </w:numPr>
        <w:spacing w:after="120"/>
        <w:contextualSpacing w:val="0"/>
      </w:pPr>
      <w:r>
        <w:t>Revision: [If revision is necessary, show the relevant PAC report and/or other factor requiring revision]</w:t>
      </w:r>
    </w:p>
    <w:p w:rsidR="004B60F3" w:rsidRDefault="004B60F3" w:rsidP="004B60F3">
      <w:pPr>
        <w:pStyle w:val="ListParagraph"/>
        <w:numPr>
          <w:ilvl w:val="0"/>
          <w:numId w:val="27"/>
        </w:numPr>
        <w:spacing w:after="120"/>
        <w:contextualSpacing w:val="0"/>
      </w:pPr>
      <w:r>
        <w:t xml:space="preserve">Outcome: [Identify the overall </w:t>
      </w:r>
      <w:r w:rsidR="00D20551">
        <w:t>desired</w:t>
      </w:r>
      <w:r>
        <w:t xml:space="preserve"> outcome of the action plan – </w:t>
      </w:r>
      <w:r w:rsidR="00E57565">
        <w:t xml:space="preserve">the outcome </w:t>
      </w:r>
      <w:r>
        <w:t>may address the Auditor-General’s summary or key findings]</w:t>
      </w:r>
    </w:p>
    <w:p w:rsidR="004B60F3" w:rsidRDefault="00763D27" w:rsidP="004B60F3">
      <w:pPr>
        <w:pStyle w:val="ListParagraph"/>
        <w:numPr>
          <w:ilvl w:val="0"/>
          <w:numId w:val="27"/>
        </w:numPr>
        <w:spacing w:after="120"/>
        <w:contextualSpacing w:val="0"/>
      </w:pPr>
      <w:r>
        <w:t>Detail</w:t>
      </w:r>
      <w:r w:rsidR="004B60F3">
        <w:t xml:space="preserve"> against each finding or recommendation:</w:t>
      </w:r>
    </w:p>
    <w:p w:rsidR="00763D27" w:rsidRDefault="00763D27" w:rsidP="00763D27">
      <w:pPr>
        <w:pStyle w:val="ListParagraph"/>
        <w:numPr>
          <w:ilvl w:val="1"/>
          <w:numId w:val="27"/>
        </w:numPr>
        <w:spacing w:after="120"/>
        <w:contextualSpacing w:val="0"/>
      </w:pPr>
      <w:r>
        <w:t>Description of finding/recommendation</w:t>
      </w:r>
    </w:p>
    <w:p w:rsidR="00763D27" w:rsidRDefault="00763D27" w:rsidP="00763D27">
      <w:pPr>
        <w:pStyle w:val="ListParagraph"/>
        <w:numPr>
          <w:ilvl w:val="1"/>
          <w:numId w:val="27"/>
        </w:numPr>
        <w:spacing w:after="120"/>
        <w:contextualSpacing w:val="0"/>
      </w:pPr>
      <w:r>
        <w:t>Action/I</w:t>
      </w:r>
      <w:r w:rsidR="005829D7" w:rsidRPr="005829D7">
        <w:t>mplementation strategy</w:t>
      </w:r>
      <w:r w:rsidR="00A83FD3">
        <w:t>, including communications strategy</w:t>
      </w:r>
    </w:p>
    <w:p w:rsidR="00763D27" w:rsidRDefault="00763D27" w:rsidP="00763D27">
      <w:pPr>
        <w:pStyle w:val="ListParagraph"/>
        <w:numPr>
          <w:ilvl w:val="1"/>
          <w:numId w:val="27"/>
        </w:numPr>
        <w:spacing w:after="120"/>
        <w:contextualSpacing w:val="0"/>
      </w:pPr>
      <w:r>
        <w:t>D</w:t>
      </w:r>
      <w:r w:rsidR="005829D7" w:rsidRPr="005829D7">
        <w:t>esired outcome</w:t>
      </w:r>
    </w:p>
    <w:p w:rsidR="00763D27" w:rsidRDefault="00763D27" w:rsidP="00763D27">
      <w:pPr>
        <w:pStyle w:val="ListParagraph"/>
        <w:numPr>
          <w:ilvl w:val="1"/>
          <w:numId w:val="27"/>
        </w:numPr>
        <w:spacing w:after="120"/>
        <w:contextualSpacing w:val="0"/>
      </w:pPr>
      <w:r>
        <w:t>P</w:t>
      </w:r>
      <w:r w:rsidR="005829D7" w:rsidRPr="005829D7">
        <w:t>erformance measures</w:t>
      </w:r>
    </w:p>
    <w:p w:rsidR="00763D27" w:rsidRDefault="00763D27" w:rsidP="00763D27">
      <w:pPr>
        <w:pStyle w:val="ListParagraph"/>
        <w:numPr>
          <w:ilvl w:val="1"/>
          <w:numId w:val="27"/>
        </w:numPr>
        <w:spacing w:after="120"/>
        <w:contextualSpacing w:val="0"/>
      </w:pPr>
      <w:r>
        <w:t>Date</w:t>
      </w:r>
      <w:r w:rsidR="005829D7" w:rsidRPr="005829D7">
        <w:t xml:space="preserve"> of effect/completion date</w:t>
      </w:r>
    </w:p>
    <w:p w:rsidR="00D20551" w:rsidRDefault="00763D27" w:rsidP="00763D27">
      <w:pPr>
        <w:pStyle w:val="ListParagraph"/>
        <w:numPr>
          <w:ilvl w:val="1"/>
          <w:numId w:val="27"/>
        </w:numPr>
        <w:spacing w:after="120"/>
        <w:contextualSpacing w:val="0"/>
      </w:pPr>
      <w:r>
        <w:t>Monitoring/</w:t>
      </w:r>
      <w:r w:rsidR="005829D7" w:rsidRPr="005829D7">
        <w:t>review process.</w:t>
      </w:r>
    </w:p>
    <w:p w:rsidR="00D20551" w:rsidRDefault="00D20551">
      <w:pPr>
        <w:spacing w:after="0" w:line="240" w:lineRule="auto"/>
      </w:pPr>
      <w:r>
        <w:br w:type="page"/>
      </w:r>
    </w:p>
    <w:p w:rsidR="003A4B46" w:rsidRDefault="00D20551" w:rsidP="00D20551">
      <w:pPr>
        <w:spacing w:after="120"/>
        <w:jc w:val="right"/>
        <w:rPr>
          <w:b/>
        </w:rPr>
      </w:pPr>
      <w:r w:rsidRPr="00D20551">
        <w:rPr>
          <w:b/>
        </w:rPr>
        <w:lastRenderedPageBreak/>
        <w:t>APPENDIX D</w:t>
      </w:r>
    </w:p>
    <w:p w:rsidR="000D3177" w:rsidRPr="009E46FE" w:rsidRDefault="000D3177" w:rsidP="00BE02AC">
      <w:pPr>
        <w:pStyle w:val="Heading1"/>
        <w:rPr>
          <w:rStyle w:val="SubtleEmphasis"/>
        </w:rPr>
      </w:pPr>
      <w:bookmarkStart w:id="25" w:name="_Toc421177926"/>
      <w:r>
        <w:t>Appendix D: Implementation and Monitoring of Agreed Recommendations</w:t>
      </w:r>
      <w:bookmarkEnd w:id="25"/>
    </w:p>
    <w:p w:rsidR="000D3177" w:rsidRDefault="000D3177" w:rsidP="000D3177">
      <w:pPr>
        <w:spacing w:before="240"/>
        <w:rPr>
          <w:lang w:val="en-GB"/>
        </w:rPr>
      </w:pPr>
      <w:r>
        <w:rPr>
          <w:lang w:val="en-GB"/>
        </w:rPr>
        <w:t>An appropriate process needs to be established by each agency for implementing and monitoring supported Auditor-General report recommendations and any subsequent revisions required by the Government response to a PAC inquiry.</w:t>
      </w:r>
    </w:p>
    <w:p w:rsidR="000D3177" w:rsidRDefault="000D3177" w:rsidP="000D3177">
      <w:pPr>
        <w:spacing w:before="240"/>
        <w:rPr>
          <w:lang w:val="en-GB"/>
        </w:rPr>
      </w:pPr>
      <w:r>
        <w:rPr>
          <w:lang w:val="en-GB"/>
        </w:rPr>
        <w:t xml:space="preserve">Actions to be taken by Directorates should include: </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assign responsibility for the implementation of accepted recommendations to a single person or business unit;</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develop an internal action plan that includes a timetable for implementation and clearly outlines roles and responsibilities for the implementation of each recommendation accepted;</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include in the plan mechanisms to monitor and report on results against key indicators where they have been identified in the Auditor-General’s report or PAC report;</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allocate sufficient resources to implement the plan and set realistic and achievable timeframes and targets;</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have the plan endorsed by the Director-General and where appropriate, the Strategic Board and/or the relevant portfolio Minister;</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nominate or establish a committee (if not the internal audit committee) to monitor and report on progress;</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provide regular reports on the progress of implementation of the accepted recommendations to the Director-General and where appropriate, the Strategic Board and/or the relevant portfolio Minister;</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raise staff awareness of the outcomes of the performance audit and invite feedback on how best to implement the recommendations;</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regularly review and monitor the internal action plan and make amendments, where necessary, to maintain relevance and appropriateness; and</w:t>
      </w:r>
    </w:p>
    <w:p w:rsidR="000D3177" w:rsidRDefault="000D3177" w:rsidP="000D3177">
      <w:pPr>
        <w:numPr>
          <w:ilvl w:val="0"/>
          <w:numId w:val="29"/>
        </w:numPr>
        <w:tabs>
          <w:tab w:val="clear" w:pos="720"/>
        </w:tabs>
        <w:spacing w:before="240" w:after="0" w:line="240" w:lineRule="auto"/>
        <w:ind w:left="709" w:hanging="709"/>
        <w:rPr>
          <w:lang w:val="en-GB"/>
        </w:rPr>
      </w:pPr>
      <w:r>
        <w:rPr>
          <w:lang w:val="en-GB"/>
        </w:rPr>
        <w:t>report progress and action taken to address accepted recommendations for significant matters/issues in accordance with annual report directions and, where relevant and applicable, to the Minister and the Legislative Assembly (reporting progress each year until implementation for significant matters/issues is complete).</w:t>
      </w:r>
    </w:p>
    <w:p w:rsidR="00D20551" w:rsidRPr="00D20551" w:rsidRDefault="00D20551" w:rsidP="00D20551">
      <w:pPr>
        <w:spacing w:after="120"/>
        <w:rPr>
          <w:b/>
        </w:rPr>
      </w:pPr>
    </w:p>
    <w:sectPr w:rsidR="00D20551" w:rsidRPr="00D20551" w:rsidSect="008F1CEA">
      <w:footerReference w:type="default" r:id="rId17"/>
      <w:pgSz w:w="11906" w:h="16838"/>
      <w:pgMar w:top="851"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C2" w:rsidRDefault="00A744C2" w:rsidP="00645B27">
      <w:pPr>
        <w:spacing w:after="0" w:line="240" w:lineRule="auto"/>
      </w:pPr>
      <w:r>
        <w:separator/>
      </w:r>
    </w:p>
    <w:p w:rsidR="00A744C2" w:rsidRDefault="00A744C2"/>
    <w:p w:rsidR="00A744C2" w:rsidRDefault="00A744C2"/>
  </w:endnote>
  <w:endnote w:type="continuationSeparator" w:id="0">
    <w:p w:rsidR="00A744C2" w:rsidRDefault="00A744C2" w:rsidP="00645B27">
      <w:pPr>
        <w:spacing w:after="0" w:line="240" w:lineRule="auto"/>
      </w:pPr>
      <w:r>
        <w:continuationSeparator/>
      </w:r>
    </w:p>
    <w:p w:rsidR="00A744C2" w:rsidRDefault="00A744C2"/>
    <w:p w:rsidR="00A744C2" w:rsidRDefault="00A74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10" w:rsidRDefault="00C6125D">
    <w:pPr>
      <w:pStyle w:val="Footer"/>
      <w:jc w:val="right"/>
    </w:pPr>
    <w:r>
      <w:fldChar w:fldCharType="begin"/>
    </w:r>
    <w:r>
      <w:instrText xml:space="preserve"> PAGE   \* MERGEFORMAT </w:instrText>
    </w:r>
    <w:r>
      <w:fldChar w:fldCharType="separate"/>
    </w:r>
    <w:r w:rsidR="0024250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10" w:rsidRDefault="00C6125D" w:rsidP="00AC10D6">
    <w:pPr>
      <w:pStyle w:val="Footer"/>
      <w:jc w:val="right"/>
    </w:pPr>
    <w:r>
      <w:fldChar w:fldCharType="begin"/>
    </w:r>
    <w:r>
      <w:instrText xml:space="preserve"> PAGE   \* MERGEFORMAT </w:instrText>
    </w:r>
    <w:r>
      <w:fldChar w:fldCharType="separate"/>
    </w:r>
    <w:r w:rsidR="0024250B">
      <w:rPr>
        <w:noProof/>
      </w:rPr>
      <w:t>2</w:t>
    </w:r>
    <w:r>
      <w:rPr>
        <w:noProof/>
      </w:rPr>
      <w:fldChar w:fldCharType="end"/>
    </w:r>
  </w:p>
  <w:p w:rsidR="00875310" w:rsidRDefault="00875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C2" w:rsidRDefault="00A744C2" w:rsidP="00645B27">
      <w:pPr>
        <w:spacing w:after="0" w:line="240" w:lineRule="auto"/>
      </w:pPr>
      <w:r>
        <w:separator/>
      </w:r>
    </w:p>
    <w:p w:rsidR="00A744C2" w:rsidRDefault="00A744C2"/>
    <w:p w:rsidR="00A744C2" w:rsidRDefault="00A744C2"/>
  </w:footnote>
  <w:footnote w:type="continuationSeparator" w:id="0">
    <w:p w:rsidR="00A744C2" w:rsidRDefault="00A744C2" w:rsidP="00645B27">
      <w:pPr>
        <w:spacing w:after="0" w:line="240" w:lineRule="auto"/>
      </w:pPr>
      <w:r>
        <w:continuationSeparator/>
      </w:r>
    </w:p>
    <w:p w:rsidR="00A744C2" w:rsidRDefault="00A744C2"/>
    <w:p w:rsidR="00A744C2" w:rsidRDefault="00A744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9E5"/>
    <w:multiLevelType w:val="hybridMultilevel"/>
    <w:tmpl w:val="3168D3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B">
      <w:start w:val="1"/>
      <w:numFmt w:val="lowerRoman"/>
      <w:lvlText w:val="%4."/>
      <w:lvlJc w:val="righ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622E1F"/>
    <w:multiLevelType w:val="multilevel"/>
    <w:tmpl w:val="31003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375AE"/>
    <w:multiLevelType w:val="hybridMultilevel"/>
    <w:tmpl w:val="E85CD0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074B89"/>
    <w:multiLevelType w:val="hybridMultilevel"/>
    <w:tmpl w:val="FB3E358A"/>
    <w:lvl w:ilvl="0" w:tplc="4E6ACA5E">
      <w:start w:val="1"/>
      <w:numFmt w:val="decimal"/>
      <w:lvlText w:val="%1."/>
      <w:lvlJc w:val="left"/>
      <w:pPr>
        <w:ind w:left="360" w:hanging="360"/>
      </w:pPr>
      <w:rPr>
        <w:i w:val="0"/>
      </w:rPr>
    </w:lvl>
    <w:lvl w:ilvl="1" w:tplc="C4406F8E">
      <w:start w:val="1"/>
      <w:numFmt w:val="lowerLetter"/>
      <w:lvlText w:val="%2."/>
      <w:lvlJc w:val="left"/>
      <w:pPr>
        <w:ind w:left="1080" w:hanging="360"/>
      </w:pPr>
      <w:rPr>
        <w:i w:val="0"/>
      </w:rPr>
    </w:lvl>
    <w:lvl w:ilvl="2" w:tplc="8D3A67AA">
      <w:start w:val="1"/>
      <w:numFmt w:val="lowerRoman"/>
      <w:lvlText w:val="%3."/>
      <w:lvlJc w:val="right"/>
      <w:pPr>
        <w:ind w:left="1800" w:hanging="180"/>
      </w:pPr>
      <w:rPr>
        <w:i w:val="0"/>
      </w:rPr>
    </w:lvl>
    <w:lvl w:ilvl="3" w:tplc="0C090017">
      <w:start w:val="1"/>
      <w:numFmt w:val="low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83634D"/>
    <w:multiLevelType w:val="hybridMultilevel"/>
    <w:tmpl w:val="7D4E7B58"/>
    <w:lvl w:ilvl="0" w:tplc="39F01CD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54921"/>
    <w:multiLevelType w:val="hybridMultilevel"/>
    <w:tmpl w:val="8D74046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209F1D71"/>
    <w:multiLevelType w:val="hybridMultilevel"/>
    <w:tmpl w:val="82986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285F4F"/>
    <w:multiLevelType w:val="hybridMultilevel"/>
    <w:tmpl w:val="31003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50336"/>
    <w:multiLevelType w:val="hybridMultilevel"/>
    <w:tmpl w:val="B6E02C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6706FE"/>
    <w:multiLevelType w:val="multilevel"/>
    <w:tmpl w:val="31003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1E4CEF"/>
    <w:multiLevelType w:val="hybridMultilevel"/>
    <w:tmpl w:val="44AE4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BE5B52"/>
    <w:multiLevelType w:val="hybridMultilevel"/>
    <w:tmpl w:val="A1689F76"/>
    <w:lvl w:ilvl="0" w:tplc="8E86375E">
      <w:start w:val="1"/>
      <w:numFmt w:val="decimal"/>
      <w:lvlText w:val="%1."/>
      <w:lvlJc w:val="left"/>
      <w:pPr>
        <w:ind w:left="360" w:hanging="360"/>
      </w:pPr>
    </w:lvl>
    <w:lvl w:ilvl="1" w:tplc="C4406F8E">
      <w:start w:val="1"/>
      <w:numFmt w:val="lowerLetter"/>
      <w:lvlText w:val="%2."/>
      <w:lvlJc w:val="left"/>
      <w:pPr>
        <w:ind w:left="1080" w:hanging="360"/>
      </w:pPr>
      <w:rPr>
        <w:i w:val="0"/>
      </w:rPr>
    </w:lvl>
    <w:lvl w:ilvl="2" w:tplc="8D3A67AA">
      <w:start w:val="1"/>
      <w:numFmt w:val="lowerRoman"/>
      <w:lvlText w:val="%3."/>
      <w:lvlJc w:val="right"/>
      <w:pPr>
        <w:ind w:left="1800" w:hanging="180"/>
      </w:pPr>
      <w:rPr>
        <w:i w:val="0"/>
      </w:rPr>
    </w:lvl>
    <w:lvl w:ilvl="3" w:tplc="0C090017">
      <w:start w:val="1"/>
      <w:numFmt w:val="low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2C71A2"/>
    <w:multiLevelType w:val="multilevel"/>
    <w:tmpl w:val="1C4CD6BC"/>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right"/>
      <w:pPr>
        <w:ind w:left="1800" w:hanging="180"/>
      </w:pPr>
      <w:rPr>
        <w:i w:val="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D6535E"/>
    <w:multiLevelType w:val="hybridMultilevel"/>
    <w:tmpl w:val="03F2D7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D36820"/>
    <w:multiLevelType w:val="hybridMultilevel"/>
    <w:tmpl w:val="C1B4A2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5D10A7"/>
    <w:multiLevelType w:val="multilevel"/>
    <w:tmpl w:val="31003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442DAD"/>
    <w:multiLevelType w:val="hybridMultilevel"/>
    <w:tmpl w:val="13389F6A"/>
    <w:lvl w:ilvl="0" w:tplc="F0D25688">
      <w:start w:val="1"/>
      <w:numFmt w:val="bullet"/>
      <w:lvlText w:val=""/>
      <w:lvlJc w:val="left"/>
      <w:pPr>
        <w:tabs>
          <w:tab w:val="num" w:pos="720"/>
        </w:tabs>
        <w:ind w:left="720" w:hanging="360"/>
      </w:pPr>
      <w:rPr>
        <w:rFonts w:ascii="Symbol" w:hAnsi="Symbo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16357"/>
    <w:multiLevelType w:val="hybridMultilevel"/>
    <w:tmpl w:val="75B63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6432F"/>
    <w:multiLevelType w:val="multilevel"/>
    <w:tmpl w:val="792E5318"/>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right"/>
      <w:pPr>
        <w:ind w:left="1800" w:hanging="180"/>
      </w:pPr>
      <w:rPr>
        <w:i w:val="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3E7D92"/>
    <w:multiLevelType w:val="hybridMultilevel"/>
    <w:tmpl w:val="54E094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CE1983"/>
    <w:multiLevelType w:val="multilevel"/>
    <w:tmpl w:val="792E5318"/>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right"/>
      <w:pPr>
        <w:ind w:left="1800" w:hanging="180"/>
      </w:pPr>
      <w:rPr>
        <w:i w:val="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EE3739"/>
    <w:multiLevelType w:val="multilevel"/>
    <w:tmpl w:val="C1B4A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CF44FA4"/>
    <w:multiLevelType w:val="hybridMultilevel"/>
    <w:tmpl w:val="318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86DEE"/>
    <w:multiLevelType w:val="hybridMultilevel"/>
    <w:tmpl w:val="44D281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495369"/>
    <w:multiLevelType w:val="hybridMultilevel"/>
    <w:tmpl w:val="3A16E53C"/>
    <w:lvl w:ilvl="0" w:tplc="C4406F8E">
      <w:start w:val="1"/>
      <w:numFmt w:val="lowerLetter"/>
      <w:lvlText w:val="%1."/>
      <w:lvlJc w:val="left"/>
      <w:pPr>
        <w:ind w:left="360" w:hanging="360"/>
      </w:pPr>
      <w:rPr>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15:restartNumberingAfterBreak="0">
    <w:nsid w:val="73CB7758"/>
    <w:multiLevelType w:val="hybridMultilevel"/>
    <w:tmpl w:val="6A62A56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875A3"/>
    <w:multiLevelType w:val="hybridMultilevel"/>
    <w:tmpl w:val="5E36D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EB1D85"/>
    <w:multiLevelType w:val="hybridMultilevel"/>
    <w:tmpl w:val="1C4CD6BC"/>
    <w:lvl w:ilvl="0" w:tplc="0C09000F">
      <w:start w:val="1"/>
      <w:numFmt w:val="decimal"/>
      <w:lvlText w:val="%1."/>
      <w:lvlJc w:val="left"/>
      <w:pPr>
        <w:ind w:left="360" w:hanging="360"/>
      </w:pPr>
    </w:lvl>
    <w:lvl w:ilvl="1" w:tplc="C4406F8E">
      <w:start w:val="1"/>
      <w:numFmt w:val="lowerLetter"/>
      <w:lvlText w:val="%2."/>
      <w:lvlJc w:val="left"/>
      <w:pPr>
        <w:ind w:left="1080" w:hanging="360"/>
      </w:pPr>
      <w:rPr>
        <w:i w:val="0"/>
      </w:rPr>
    </w:lvl>
    <w:lvl w:ilvl="2" w:tplc="8D3A67AA">
      <w:start w:val="1"/>
      <w:numFmt w:val="lowerRoman"/>
      <w:lvlText w:val="%3."/>
      <w:lvlJc w:val="right"/>
      <w:pPr>
        <w:ind w:left="1800" w:hanging="180"/>
      </w:pPr>
      <w:rPr>
        <w:i w:val="0"/>
      </w:rPr>
    </w:lvl>
    <w:lvl w:ilvl="3" w:tplc="0C090017">
      <w:start w:val="1"/>
      <w:numFmt w:val="low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D295DFB"/>
    <w:multiLevelType w:val="hybridMultilevel"/>
    <w:tmpl w:val="7F4030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8"/>
  </w:num>
  <w:num w:numId="3">
    <w:abstractNumId w:val="28"/>
  </w:num>
  <w:num w:numId="4">
    <w:abstractNumId w:val="3"/>
  </w:num>
  <w:num w:numId="5">
    <w:abstractNumId w:val="0"/>
  </w:num>
  <w:num w:numId="6">
    <w:abstractNumId w:val="19"/>
  </w:num>
  <w:num w:numId="7">
    <w:abstractNumId w:val="13"/>
  </w:num>
  <w:num w:numId="8">
    <w:abstractNumId w:val="2"/>
  </w:num>
  <w:num w:numId="9">
    <w:abstractNumId w:val="10"/>
  </w:num>
  <w:num w:numId="10">
    <w:abstractNumId w:val="6"/>
  </w:num>
  <w:num w:numId="11">
    <w:abstractNumId w:val="23"/>
  </w:num>
  <w:num w:numId="12">
    <w:abstractNumId w:val="25"/>
  </w:num>
  <w:num w:numId="13">
    <w:abstractNumId w:val="24"/>
  </w:num>
  <w:num w:numId="14">
    <w:abstractNumId w:val="22"/>
  </w:num>
  <w:num w:numId="15">
    <w:abstractNumId w:val="7"/>
  </w:num>
  <w:num w:numId="16">
    <w:abstractNumId w:val="1"/>
  </w:num>
  <w:num w:numId="17">
    <w:abstractNumId w:val="9"/>
  </w:num>
  <w:num w:numId="18">
    <w:abstractNumId w:val="15"/>
  </w:num>
  <w:num w:numId="19">
    <w:abstractNumId w:val="27"/>
  </w:num>
  <w:num w:numId="20">
    <w:abstractNumId w:val="14"/>
  </w:num>
  <w:num w:numId="21">
    <w:abstractNumId w:val="21"/>
  </w:num>
  <w:num w:numId="22">
    <w:abstractNumId w:val="18"/>
  </w:num>
  <w:num w:numId="23">
    <w:abstractNumId w:val="20"/>
  </w:num>
  <w:num w:numId="24">
    <w:abstractNumId w:val="5"/>
  </w:num>
  <w:num w:numId="25">
    <w:abstractNumId w:val="11"/>
  </w:num>
  <w:num w:numId="26">
    <w:abstractNumId w:val="17"/>
  </w:num>
  <w:num w:numId="27">
    <w:abstractNumId w:val="4"/>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45B27"/>
    <w:rsid w:val="0000156E"/>
    <w:rsid w:val="000164E4"/>
    <w:rsid w:val="0001730E"/>
    <w:rsid w:val="00020246"/>
    <w:rsid w:val="000346BB"/>
    <w:rsid w:val="00070F39"/>
    <w:rsid w:val="0008023E"/>
    <w:rsid w:val="00082B4A"/>
    <w:rsid w:val="00096F94"/>
    <w:rsid w:val="000A55D1"/>
    <w:rsid w:val="000B1190"/>
    <w:rsid w:val="000B6313"/>
    <w:rsid w:val="000D3177"/>
    <w:rsid w:val="00103DDA"/>
    <w:rsid w:val="001062CD"/>
    <w:rsid w:val="00113E40"/>
    <w:rsid w:val="0012163B"/>
    <w:rsid w:val="00124BF8"/>
    <w:rsid w:val="00133210"/>
    <w:rsid w:val="001474DE"/>
    <w:rsid w:val="00157738"/>
    <w:rsid w:val="0016300E"/>
    <w:rsid w:val="001659D5"/>
    <w:rsid w:val="0019097F"/>
    <w:rsid w:val="001A483A"/>
    <w:rsid w:val="001A76FD"/>
    <w:rsid w:val="001B36B4"/>
    <w:rsid w:val="001B7466"/>
    <w:rsid w:val="001D651A"/>
    <w:rsid w:val="001E0DBF"/>
    <w:rsid w:val="001E4AE1"/>
    <w:rsid w:val="001F026F"/>
    <w:rsid w:val="001F06F3"/>
    <w:rsid w:val="001F5913"/>
    <w:rsid w:val="00204494"/>
    <w:rsid w:val="0021113A"/>
    <w:rsid w:val="0021578E"/>
    <w:rsid w:val="00235D8F"/>
    <w:rsid w:val="00241348"/>
    <w:rsid w:val="0024250B"/>
    <w:rsid w:val="002511F5"/>
    <w:rsid w:val="002948A4"/>
    <w:rsid w:val="00295C16"/>
    <w:rsid w:val="00297BEC"/>
    <w:rsid w:val="002B659D"/>
    <w:rsid w:val="002C7232"/>
    <w:rsid w:val="002D02A5"/>
    <w:rsid w:val="002F381E"/>
    <w:rsid w:val="00305EED"/>
    <w:rsid w:val="00317BA9"/>
    <w:rsid w:val="0032374F"/>
    <w:rsid w:val="0032555E"/>
    <w:rsid w:val="00342F26"/>
    <w:rsid w:val="003458B5"/>
    <w:rsid w:val="00347BC0"/>
    <w:rsid w:val="00350271"/>
    <w:rsid w:val="00351127"/>
    <w:rsid w:val="0035558C"/>
    <w:rsid w:val="003605D6"/>
    <w:rsid w:val="003629F8"/>
    <w:rsid w:val="00364F27"/>
    <w:rsid w:val="00372EC3"/>
    <w:rsid w:val="00396B2C"/>
    <w:rsid w:val="003A4B46"/>
    <w:rsid w:val="003A668C"/>
    <w:rsid w:val="003A6BB4"/>
    <w:rsid w:val="003B36C2"/>
    <w:rsid w:val="003B7653"/>
    <w:rsid w:val="00404014"/>
    <w:rsid w:val="004115F2"/>
    <w:rsid w:val="00413DAD"/>
    <w:rsid w:val="004227DF"/>
    <w:rsid w:val="00427977"/>
    <w:rsid w:val="00437333"/>
    <w:rsid w:val="00443B29"/>
    <w:rsid w:val="004508F9"/>
    <w:rsid w:val="004511A3"/>
    <w:rsid w:val="00460347"/>
    <w:rsid w:val="00466876"/>
    <w:rsid w:val="004708A8"/>
    <w:rsid w:val="0048001D"/>
    <w:rsid w:val="00482404"/>
    <w:rsid w:val="004A007A"/>
    <w:rsid w:val="004A725A"/>
    <w:rsid w:val="004B00F2"/>
    <w:rsid w:val="004B60F3"/>
    <w:rsid w:val="004D7883"/>
    <w:rsid w:val="004E42F2"/>
    <w:rsid w:val="004F7105"/>
    <w:rsid w:val="004F7FCA"/>
    <w:rsid w:val="00504182"/>
    <w:rsid w:val="0052706C"/>
    <w:rsid w:val="00542C0B"/>
    <w:rsid w:val="00562357"/>
    <w:rsid w:val="00562DC3"/>
    <w:rsid w:val="005829D7"/>
    <w:rsid w:val="00585D01"/>
    <w:rsid w:val="005905D3"/>
    <w:rsid w:val="005912B4"/>
    <w:rsid w:val="00593200"/>
    <w:rsid w:val="00597FCB"/>
    <w:rsid w:val="005B7A02"/>
    <w:rsid w:val="005C501E"/>
    <w:rsid w:val="005E3A63"/>
    <w:rsid w:val="0060650B"/>
    <w:rsid w:val="00616CA3"/>
    <w:rsid w:val="00620444"/>
    <w:rsid w:val="006310E3"/>
    <w:rsid w:val="00645B27"/>
    <w:rsid w:val="00652F7E"/>
    <w:rsid w:val="006640D0"/>
    <w:rsid w:val="00690915"/>
    <w:rsid w:val="006A2554"/>
    <w:rsid w:val="006B6BCE"/>
    <w:rsid w:val="006C1983"/>
    <w:rsid w:val="006C7338"/>
    <w:rsid w:val="006D7AE5"/>
    <w:rsid w:val="006E6718"/>
    <w:rsid w:val="00704599"/>
    <w:rsid w:val="0072474E"/>
    <w:rsid w:val="00727137"/>
    <w:rsid w:val="007518B4"/>
    <w:rsid w:val="00752D32"/>
    <w:rsid w:val="00756B04"/>
    <w:rsid w:val="00763D27"/>
    <w:rsid w:val="0076414A"/>
    <w:rsid w:val="0077176E"/>
    <w:rsid w:val="00775D74"/>
    <w:rsid w:val="00785F36"/>
    <w:rsid w:val="007A2A0D"/>
    <w:rsid w:val="007A7B5B"/>
    <w:rsid w:val="007B3901"/>
    <w:rsid w:val="00816819"/>
    <w:rsid w:val="0082337A"/>
    <w:rsid w:val="0084462E"/>
    <w:rsid w:val="00850F4D"/>
    <w:rsid w:val="008554FA"/>
    <w:rsid w:val="00875310"/>
    <w:rsid w:val="00875B1A"/>
    <w:rsid w:val="00892902"/>
    <w:rsid w:val="00894B32"/>
    <w:rsid w:val="008A08EC"/>
    <w:rsid w:val="008D078E"/>
    <w:rsid w:val="008E4767"/>
    <w:rsid w:val="008E771A"/>
    <w:rsid w:val="008F1CEA"/>
    <w:rsid w:val="009142DB"/>
    <w:rsid w:val="00916E7D"/>
    <w:rsid w:val="00917219"/>
    <w:rsid w:val="00921AF6"/>
    <w:rsid w:val="00934D9A"/>
    <w:rsid w:val="00945D4E"/>
    <w:rsid w:val="0095580B"/>
    <w:rsid w:val="00955971"/>
    <w:rsid w:val="00963B9C"/>
    <w:rsid w:val="009A5153"/>
    <w:rsid w:val="009C467E"/>
    <w:rsid w:val="009D3ECA"/>
    <w:rsid w:val="009E46FE"/>
    <w:rsid w:val="009E54A1"/>
    <w:rsid w:val="00A007F3"/>
    <w:rsid w:val="00A2221F"/>
    <w:rsid w:val="00A23619"/>
    <w:rsid w:val="00A45F88"/>
    <w:rsid w:val="00A611C3"/>
    <w:rsid w:val="00A61C05"/>
    <w:rsid w:val="00A621DB"/>
    <w:rsid w:val="00A744C2"/>
    <w:rsid w:val="00A83FD3"/>
    <w:rsid w:val="00A91A8E"/>
    <w:rsid w:val="00A91EAB"/>
    <w:rsid w:val="00A934DB"/>
    <w:rsid w:val="00A94AC4"/>
    <w:rsid w:val="00AA51C9"/>
    <w:rsid w:val="00AB717C"/>
    <w:rsid w:val="00AC10D6"/>
    <w:rsid w:val="00AD3593"/>
    <w:rsid w:val="00AE300C"/>
    <w:rsid w:val="00B1405B"/>
    <w:rsid w:val="00B16B9A"/>
    <w:rsid w:val="00B20A3B"/>
    <w:rsid w:val="00B35704"/>
    <w:rsid w:val="00B409C1"/>
    <w:rsid w:val="00B50C5B"/>
    <w:rsid w:val="00B541DB"/>
    <w:rsid w:val="00B60697"/>
    <w:rsid w:val="00B65CF7"/>
    <w:rsid w:val="00B67063"/>
    <w:rsid w:val="00B70099"/>
    <w:rsid w:val="00B73DA0"/>
    <w:rsid w:val="00B84257"/>
    <w:rsid w:val="00B86D22"/>
    <w:rsid w:val="00BB7B22"/>
    <w:rsid w:val="00BC004D"/>
    <w:rsid w:val="00BE02AC"/>
    <w:rsid w:val="00BE5C16"/>
    <w:rsid w:val="00BF2DE2"/>
    <w:rsid w:val="00C02BB0"/>
    <w:rsid w:val="00C22A51"/>
    <w:rsid w:val="00C23A38"/>
    <w:rsid w:val="00C247AD"/>
    <w:rsid w:val="00C25A18"/>
    <w:rsid w:val="00C6125D"/>
    <w:rsid w:val="00C86134"/>
    <w:rsid w:val="00C914F2"/>
    <w:rsid w:val="00C94452"/>
    <w:rsid w:val="00CC34B7"/>
    <w:rsid w:val="00CC3EF5"/>
    <w:rsid w:val="00CE40CB"/>
    <w:rsid w:val="00CF4895"/>
    <w:rsid w:val="00CF514A"/>
    <w:rsid w:val="00D0348E"/>
    <w:rsid w:val="00D16EB5"/>
    <w:rsid w:val="00D20551"/>
    <w:rsid w:val="00D31D7A"/>
    <w:rsid w:val="00D34277"/>
    <w:rsid w:val="00D43F1C"/>
    <w:rsid w:val="00D4606D"/>
    <w:rsid w:val="00D6192F"/>
    <w:rsid w:val="00D63E79"/>
    <w:rsid w:val="00D81B58"/>
    <w:rsid w:val="00D83189"/>
    <w:rsid w:val="00D91781"/>
    <w:rsid w:val="00DA3F9C"/>
    <w:rsid w:val="00DC1724"/>
    <w:rsid w:val="00DD0D3A"/>
    <w:rsid w:val="00DD75B7"/>
    <w:rsid w:val="00E0471B"/>
    <w:rsid w:val="00E053AB"/>
    <w:rsid w:val="00E248DB"/>
    <w:rsid w:val="00E24A0C"/>
    <w:rsid w:val="00E30D2A"/>
    <w:rsid w:val="00E34A2D"/>
    <w:rsid w:val="00E37A5C"/>
    <w:rsid w:val="00E459CC"/>
    <w:rsid w:val="00E525F6"/>
    <w:rsid w:val="00E57565"/>
    <w:rsid w:val="00E62ABF"/>
    <w:rsid w:val="00E66EB3"/>
    <w:rsid w:val="00E75E31"/>
    <w:rsid w:val="00E875AE"/>
    <w:rsid w:val="00EC3F09"/>
    <w:rsid w:val="00EC7170"/>
    <w:rsid w:val="00ED646E"/>
    <w:rsid w:val="00ED7A99"/>
    <w:rsid w:val="00EE0B70"/>
    <w:rsid w:val="00EE3036"/>
    <w:rsid w:val="00F06F24"/>
    <w:rsid w:val="00F30616"/>
    <w:rsid w:val="00F5683C"/>
    <w:rsid w:val="00F57457"/>
    <w:rsid w:val="00F65A81"/>
    <w:rsid w:val="00F905DD"/>
    <w:rsid w:val="00F91416"/>
    <w:rsid w:val="00FB64C1"/>
    <w:rsid w:val="00FC3B6E"/>
    <w:rsid w:val="00FE2620"/>
    <w:rsid w:val="00FE3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1" type="connector" idref="#_x0000_s1036"/>
        <o:r id="V:Rule12" type="connector" idref="#_x0000_s1031"/>
        <o:r id="V:Rule13" type="connector" idref="#_x0000_s1035"/>
        <o:r id="V:Rule14" type="connector" idref="#_x0000_s1030"/>
        <o:r id="V:Rule15" type="connector" idref="#_x0000_s1028"/>
        <o:r id="V:Rule16" type="connector" idref="#_x0000_s1032"/>
        <o:r id="V:Rule17" type="connector" idref="#_x0000_s1033"/>
        <o:r id="V:Rule18" type="connector" idref="#_x0000_s1029"/>
        <o:r id="V:Rule19" type="connector" idref="#_x0000_s1034"/>
        <o:r id="V:Rule20" type="connector" idref="#_x0000_s1027"/>
      </o:rules>
    </o:shapelayout>
  </w:shapeDefaults>
  <w:decimalSymbol w:val="."/>
  <w:listSeparator w:val=","/>
  <w15:docId w15:val="{2F40B656-984A-4714-90B7-A279450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66"/>
    <w:pPr>
      <w:spacing w:after="200" w:line="276" w:lineRule="auto"/>
    </w:pPr>
    <w:rPr>
      <w:sz w:val="24"/>
      <w:szCs w:val="22"/>
      <w:lang w:val="en-US" w:eastAsia="en-US" w:bidi="en-US"/>
    </w:rPr>
  </w:style>
  <w:style w:type="paragraph" w:styleId="Heading1">
    <w:name w:val="heading 1"/>
    <w:basedOn w:val="Normal"/>
    <w:next w:val="Normal"/>
    <w:link w:val="Heading1Char"/>
    <w:uiPriority w:val="9"/>
    <w:qFormat/>
    <w:rsid w:val="00BE02AC"/>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0"/>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482404"/>
    <w:pPr>
      <w:spacing w:before="200" w:after="0"/>
      <w:outlineLvl w:val="1"/>
    </w:pPr>
    <w:rPr>
      <w:b/>
      <w:bCs/>
      <w:iCs/>
      <w:color w:val="17365D"/>
      <w:szCs w:val="24"/>
    </w:rPr>
  </w:style>
  <w:style w:type="paragraph" w:styleId="Heading3">
    <w:name w:val="heading 3"/>
    <w:basedOn w:val="Normal"/>
    <w:next w:val="Normal"/>
    <w:link w:val="Heading3Char"/>
    <w:uiPriority w:val="9"/>
    <w:unhideWhenUsed/>
    <w:qFormat/>
    <w:rsid w:val="00645B2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645B27"/>
    <w:pPr>
      <w:spacing w:before="200" w:after="0"/>
      <w:outlineLvl w:val="3"/>
    </w:pPr>
    <w:rPr>
      <w:b/>
      <w:bCs/>
      <w:i/>
      <w:iCs/>
    </w:rPr>
  </w:style>
  <w:style w:type="paragraph" w:styleId="Heading5">
    <w:name w:val="heading 5"/>
    <w:basedOn w:val="Normal"/>
    <w:next w:val="Normal"/>
    <w:link w:val="Heading5Char"/>
    <w:uiPriority w:val="9"/>
    <w:semiHidden/>
    <w:unhideWhenUsed/>
    <w:qFormat/>
    <w:rsid w:val="00645B2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645B2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645B27"/>
    <w:pPr>
      <w:spacing w:after="0"/>
      <w:outlineLvl w:val="6"/>
    </w:pPr>
    <w:rPr>
      <w:i/>
      <w:iCs/>
    </w:rPr>
  </w:style>
  <w:style w:type="paragraph" w:styleId="Heading8">
    <w:name w:val="heading 8"/>
    <w:basedOn w:val="Normal"/>
    <w:next w:val="Normal"/>
    <w:link w:val="Heading8Char"/>
    <w:uiPriority w:val="9"/>
    <w:semiHidden/>
    <w:unhideWhenUsed/>
    <w:qFormat/>
    <w:rsid w:val="00645B27"/>
    <w:pPr>
      <w:spacing w:after="0"/>
      <w:outlineLvl w:val="7"/>
    </w:pPr>
    <w:rPr>
      <w:sz w:val="20"/>
      <w:szCs w:val="20"/>
    </w:rPr>
  </w:style>
  <w:style w:type="paragraph" w:styleId="Heading9">
    <w:name w:val="heading 9"/>
    <w:basedOn w:val="Normal"/>
    <w:next w:val="Normal"/>
    <w:link w:val="Heading9Char"/>
    <w:uiPriority w:val="9"/>
    <w:semiHidden/>
    <w:unhideWhenUsed/>
    <w:qFormat/>
    <w:rsid w:val="00645B2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27"/>
    <w:rPr>
      <w:rFonts w:ascii="Tahoma" w:hAnsi="Tahoma" w:cs="Tahoma"/>
      <w:sz w:val="16"/>
      <w:szCs w:val="16"/>
    </w:rPr>
  </w:style>
  <w:style w:type="character" w:customStyle="1" w:styleId="Heading1Char">
    <w:name w:val="Heading 1 Char"/>
    <w:basedOn w:val="DefaultParagraphFont"/>
    <w:link w:val="Heading1"/>
    <w:uiPriority w:val="9"/>
    <w:rsid w:val="00BE02AC"/>
    <w:rPr>
      <w:b/>
      <w:bCs/>
      <w:sz w:val="32"/>
      <w:szCs w:val="32"/>
      <w:shd w:val="clear" w:color="auto" w:fill="D9D9D9" w:themeFill="background1" w:themeFillShade="D9"/>
      <w:lang w:val="en-US" w:eastAsia="en-US" w:bidi="en-US"/>
    </w:rPr>
  </w:style>
  <w:style w:type="paragraph" w:styleId="Title">
    <w:name w:val="Title"/>
    <w:basedOn w:val="Normal"/>
    <w:next w:val="Normal"/>
    <w:link w:val="TitleChar"/>
    <w:uiPriority w:val="10"/>
    <w:qFormat/>
    <w:rsid w:val="00645B27"/>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645B27"/>
    <w:rPr>
      <w:rFonts w:ascii="Calibri" w:eastAsia="Times New Roman" w:hAnsi="Calibri" w:cs="Times New Roman"/>
      <w:spacing w:val="5"/>
      <w:sz w:val="52"/>
      <w:szCs w:val="52"/>
    </w:rPr>
  </w:style>
  <w:style w:type="character" w:customStyle="1" w:styleId="Heading2Char">
    <w:name w:val="Heading 2 Char"/>
    <w:basedOn w:val="DefaultParagraphFont"/>
    <w:link w:val="Heading2"/>
    <w:uiPriority w:val="9"/>
    <w:rsid w:val="00482404"/>
    <w:rPr>
      <w:b/>
      <w:bCs/>
      <w:iCs/>
      <w:color w:val="17365D"/>
      <w:sz w:val="24"/>
      <w:szCs w:val="24"/>
      <w:lang w:val="en-US" w:eastAsia="en-US" w:bidi="en-US"/>
    </w:rPr>
  </w:style>
  <w:style w:type="character" w:customStyle="1" w:styleId="Heading3Char">
    <w:name w:val="Heading 3 Char"/>
    <w:basedOn w:val="DefaultParagraphFont"/>
    <w:link w:val="Heading3"/>
    <w:uiPriority w:val="9"/>
    <w:rsid w:val="00645B2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645B2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645B2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645B2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645B2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645B2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645B27"/>
    <w:rPr>
      <w:rFonts w:ascii="Calibri" w:eastAsia="Times New Roman" w:hAnsi="Calibri" w:cs="Times New Roman"/>
      <w:i/>
      <w:iCs/>
      <w:spacing w:val="5"/>
      <w:sz w:val="20"/>
      <w:szCs w:val="20"/>
    </w:rPr>
  </w:style>
  <w:style w:type="paragraph" w:styleId="Subtitle">
    <w:name w:val="Subtitle"/>
    <w:basedOn w:val="Normal"/>
    <w:next w:val="Normal"/>
    <w:link w:val="SubtitleChar"/>
    <w:uiPriority w:val="11"/>
    <w:qFormat/>
    <w:rsid w:val="00645B27"/>
    <w:pPr>
      <w:spacing w:after="600"/>
    </w:pPr>
    <w:rPr>
      <w:i/>
      <w:iCs/>
      <w:spacing w:val="13"/>
      <w:szCs w:val="24"/>
    </w:rPr>
  </w:style>
  <w:style w:type="character" w:customStyle="1" w:styleId="SubtitleChar">
    <w:name w:val="Subtitle Char"/>
    <w:basedOn w:val="DefaultParagraphFont"/>
    <w:link w:val="Subtitle"/>
    <w:uiPriority w:val="11"/>
    <w:rsid w:val="00645B27"/>
    <w:rPr>
      <w:rFonts w:ascii="Calibri" w:eastAsia="Times New Roman" w:hAnsi="Calibri" w:cs="Times New Roman"/>
      <w:i/>
      <w:iCs/>
      <w:spacing w:val="13"/>
      <w:sz w:val="24"/>
      <w:szCs w:val="24"/>
    </w:rPr>
  </w:style>
  <w:style w:type="character" w:styleId="Strong">
    <w:name w:val="Strong"/>
    <w:uiPriority w:val="22"/>
    <w:qFormat/>
    <w:rsid w:val="00645B27"/>
    <w:rPr>
      <w:b/>
      <w:bCs/>
    </w:rPr>
  </w:style>
  <w:style w:type="character" w:styleId="Emphasis">
    <w:name w:val="Emphasis"/>
    <w:uiPriority w:val="20"/>
    <w:qFormat/>
    <w:rsid w:val="00645B27"/>
    <w:rPr>
      <w:b/>
      <w:bCs/>
      <w:i/>
      <w:iCs/>
      <w:spacing w:val="10"/>
      <w:bdr w:val="none" w:sz="0" w:space="0" w:color="auto"/>
      <w:shd w:val="clear" w:color="auto" w:fill="auto"/>
    </w:rPr>
  </w:style>
  <w:style w:type="paragraph" w:styleId="NoSpacing">
    <w:name w:val="No Spacing"/>
    <w:basedOn w:val="Normal"/>
    <w:link w:val="NoSpacingChar"/>
    <w:uiPriority w:val="1"/>
    <w:qFormat/>
    <w:rsid w:val="00645B27"/>
    <w:pPr>
      <w:spacing w:after="0" w:line="240" w:lineRule="auto"/>
    </w:pPr>
  </w:style>
  <w:style w:type="paragraph" w:styleId="ListParagraph">
    <w:name w:val="List Paragraph"/>
    <w:basedOn w:val="Normal"/>
    <w:uiPriority w:val="34"/>
    <w:qFormat/>
    <w:rsid w:val="00645B27"/>
    <w:pPr>
      <w:ind w:left="720"/>
      <w:contextualSpacing/>
    </w:pPr>
  </w:style>
  <w:style w:type="paragraph" w:styleId="Quote">
    <w:name w:val="Quote"/>
    <w:basedOn w:val="Normal"/>
    <w:next w:val="Normal"/>
    <w:link w:val="QuoteChar"/>
    <w:uiPriority w:val="29"/>
    <w:qFormat/>
    <w:rsid w:val="00645B27"/>
    <w:pPr>
      <w:spacing w:before="200" w:after="0"/>
      <w:ind w:left="360" w:right="360"/>
    </w:pPr>
    <w:rPr>
      <w:i/>
      <w:iCs/>
    </w:rPr>
  </w:style>
  <w:style w:type="character" w:customStyle="1" w:styleId="QuoteChar">
    <w:name w:val="Quote Char"/>
    <w:basedOn w:val="DefaultParagraphFont"/>
    <w:link w:val="Quote"/>
    <w:uiPriority w:val="29"/>
    <w:rsid w:val="00645B27"/>
    <w:rPr>
      <w:i/>
      <w:iCs/>
    </w:rPr>
  </w:style>
  <w:style w:type="paragraph" w:styleId="IntenseQuote">
    <w:name w:val="Intense Quote"/>
    <w:basedOn w:val="Normal"/>
    <w:next w:val="Normal"/>
    <w:link w:val="IntenseQuoteChar"/>
    <w:uiPriority w:val="30"/>
    <w:qFormat/>
    <w:rsid w:val="00645B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5B27"/>
    <w:rPr>
      <w:b/>
      <w:bCs/>
      <w:i/>
      <w:iCs/>
    </w:rPr>
  </w:style>
  <w:style w:type="character" w:styleId="SubtleEmphasis">
    <w:name w:val="Subtle Emphasis"/>
    <w:uiPriority w:val="19"/>
    <w:qFormat/>
    <w:rsid w:val="009E46FE"/>
    <w:rPr>
      <w:szCs w:val="24"/>
    </w:rPr>
  </w:style>
  <w:style w:type="character" w:styleId="IntenseEmphasis">
    <w:name w:val="Intense Emphasis"/>
    <w:uiPriority w:val="21"/>
    <w:qFormat/>
    <w:rsid w:val="00645B27"/>
    <w:rPr>
      <w:b/>
      <w:bCs/>
    </w:rPr>
  </w:style>
  <w:style w:type="character" w:styleId="SubtleReference">
    <w:name w:val="Subtle Reference"/>
    <w:uiPriority w:val="31"/>
    <w:qFormat/>
    <w:rsid w:val="00645B27"/>
    <w:rPr>
      <w:smallCaps/>
    </w:rPr>
  </w:style>
  <w:style w:type="character" w:styleId="IntenseReference">
    <w:name w:val="Intense Reference"/>
    <w:uiPriority w:val="32"/>
    <w:qFormat/>
    <w:rsid w:val="00645B27"/>
    <w:rPr>
      <w:smallCaps/>
      <w:spacing w:val="5"/>
      <w:u w:val="single"/>
    </w:rPr>
  </w:style>
  <w:style w:type="character" w:styleId="BookTitle">
    <w:name w:val="Book Title"/>
    <w:uiPriority w:val="33"/>
    <w:qFormat/>
    <w:rsid w:val="00645B27"/>
    <w:rPr>
      <w:i/>
      <w:iCs/>
      <w:smallCaps/>
      <w:spacing w:val="5"/>
    </w:rPr>
  </w:style>
  <w:style w:type="paragraph" w:styleId="TOCHeading">
    <w:name w:val="TOC Heading"/>
    <w:basedOn w:val="Heading1"/>
    <w:next w:val="Normal"/>
    <w:uiPriority w:val="39"/>
    <w:unhideWhenUsed/>
    <w:qFormat/>
    <w:rsid w:val="00645B27"/>
    <w:pPr>
      <w:outlineLvl w:val="9"/>
    </w:pPr>
  </w:style>
  <w:style w:type="paragraph" w:styleId="Header">
    <w:name w:val="header"/>
    <w:basedOn w:val="Normal"/>
    <w:link w:val="HeaderChar"/>
    <w:unhideWhenUsed/>
    <w:rsid w:val="00645B27"/>
    <w:pPr>
      <w:tabs>
        <w:tab w:val="center" w:pos="4513"/>
        <w:tab w:val="right" w:pos="9026"/>
      </w:tabs>
      <w:spacing w:after="0" w:line="240" w:lineRule="auto"/>
    </w:pPr>
  </w:style>
  <w:style w:type="character" w:customStyle="1" w:styleId="HeaderChar">
    <w:name w:val="Header Char"/>
    <w:basedOn w:val="DefaultParagraphFont"/>
    <w:link w:val="Header"/>
    <w:rsid w:val="00645B27"/>
  </w:style>
  <w:style w:type="paragraph" w:styleId="Footer">
    <w:name w:val="footer"/>
    <w:basedOn w:val="Normal"/>
    <w:link w:val="FooterChar"/>
    <w:uiPriority w:val="99"/>
    <w:unhideWhenUsed/>
    <w:rsid w:val="0064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27"/>
  </w:style>
  <w:style w:type="character" w:customStyle="1" w:styleId="NoSpacingChar">
    <w:name w:val="No Spacing Char"/>
    <w:basedOn w:val="DefaultParagraphFont"/>
    <w:link w:val="NoSpacing"/>
    <w:uiPriority w:val="1"/>
    <w:rsid w:val="00645B27"/>
  </w:style>
  <w:style w:type="character" w:styleId="CommentReference">
    <w:name w:val="annotation reference"/>
    <w:basedOn w:val="DefaultParagraphFont"/>
    <w:uiPriority w:val="99"/>
    <w:semiHidden/>
    <w:unhideWhenUsed/>
    <w:rsid w:val="00894B32"/>
    <w:rPr>
      <w:sz w:val="16"/>
      <w:szCs w:val="16"/>
    </w:rPr>
  </w:style>
  <w:style w:type="paragraph" w:styleId="CommentText">
    <w:name w:val="annotation text"/>
    <w:basedOn w:val="Normal"/>
    <w:link w:val="CommentTextChar"/>
    <w:uiPriority w:val="99"/>
    <w:semiHidden/>
    <w:unhideWhenUsed/>
    <w:rsid w:val="00894B32"/>
    <w:pPr>
      <w:spacing w:line="240" w:lineRule="auto"/>
    </w:pPr>
    <w:rPr>
      <w:sz w:val="20"/>
      <w:szCs w:val="20"/>
    </w:rPr>
  </w:style>
  <w:style w:type="character" w:customStyle="1" w:styleId="CommentTextChar">
    <w:name w:val="Comment Text Char"/>
    <w:basedOn w:val="DefaultParagraphFont"/>
    <w:link w:val="CommentText"/>
    <w:uiPriority w:val="99"/>
    <w:semiHidden/>
    <w:rsid w:val="00894B32"/>
    <w:rPr>
      <w:sz w:val="20"/>
      <w:szCs w:val="20"/>
    </w:rPr>
  </w:style>
  <w:style w:type="paragraph" w:styleId="CommentSubject">
    <w:name w:val="annotation subject"/>
    <w:basedOn w:val="CommentText"/>
    <w:next w:val="CommentText"/>
    <w:link w:val="CommentSubjectChar"/>
    <w:uiPriority w:val="99"/>
    <w:semiHidden/>
    <w:unhideWhenUsed/>
    <w:rsid w:val="00894B32"/>
    <w:rPr>
      <w:b/>
      <w:bCs/>
    </w:rPr>
  </w:style>
  <w:style w:type="character" w:customStyle="1" w:styleId="CommentSubjectChar">
    <w:name w:val="Comment Subject Char"/>
    <w:basedOn w:val="CommentTextChar"/>
    <w:link w:val="CommentSubject"/>
    <w:uiPriority w:val="99"/>
    <w:semiHidden/>
    <w:rsid w:val="00894B32"/>
    <w:rPr>
      <w:b/>
      <w:bCs/>
      <w:sz w:val="20"/>
      <w:szCs w:val="20"/>
    </w:rPr>
  </w:style>
  <w:style w:type="paragraph" w:styleId="FootnoteText">
    <w:name w:val="footnote text"/>
    <w:basedOn w:val="Normal"/>
    <w:link w:val="FootnoteTextChar"/>
    <w:uiPriority w:val="99"/>
    <w:semiHidden/>
    <w:unhideWhenUsed/>
    <w:rsid w:val="00816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819"/>
    <w:rPr>
      <w:sz w:val="20"/>
      <w:szCs w:val="20"/>
    </w:rPr>
  </w:style>
  <w:style w:type="character" w:styleId="FootnoteReference">
    <w:name w:val="footnote reference"/>
    <w:basedOn w:val="DefaultParagraphFont"/>
    <w:uiPriority w:val="99"/>
    <w:semiHidden/>
    <w:unhideWhenUsed/>
    <w:rsid w:val="00816819"/>
    <w:rPr>
      <w:vertAlign w:val="superscript"/>
    </w:rPr>
  </w:style>
  <w:style w:type="character" w:styleId="Hyperlink">
    <w:name w:val="Hyperlink"/>
    <w:basedOn w:val="DefaultParagraphFont"/>
    <w:uiPriority w:val="99"/>
    <w:unhideWhenUsed/>
    <w:rsid w:val="007518B4"/>
    <w:rPr>
      <w:color w:val="0000FF"/>
      <w:u w:val="single"/>
    </w:rPr>
  </w:style>
  <w:style w:type="character" w:styleId="FollowedHyperlink">
    <w:name w:val="FollowedHyperlink"/>
    <w:basedOn w:val="DefaultParagraphFont"/>
    <w:uiPriority w:val="99"/>
    <w:semiHidden/>
    <w:unhideWhenUsed/>
    <w:rsid w:val="009E46FE"/>
    <w:rPr>
      <w:color w:val="800080"/>
      <w:u w:val="single"/>
    </w:rPr>
  </w:style>
  <w:style w:type="paragraph" w:styleId="DocumentMap">
    <w:name w:val="Document Map"/>
    <w:basedOn w:val="Normal"/>
    <w:link w:val="DocumentMapChar"/>
    <w:uiPriority w:val="99"/>
    <w:semiHidden/>
    <w:unhideWhenUsed/>
    <w:rsid w:val="003502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0271"/>
    <w:rPr>
      <w:rFonts w:ascii="Tahoma" w:hAnsi="Tahoma" w:cs="Tahoma"/>
      <w:sz w:val="16"/>
      <w:szCs w:val="16"/>
    </w:rPr>
  </w:style>
  <w:style w:type="paragraph" w:styleId="BodyText2">
    <w:name w:val="Body Text 2"/>
    <w:basedOn w:val="Normal"/>
    <w:link w:val="BodyText2Char"/>
    <w:rsid w:val="00F57457"/>
    <w:pPr>
      <w:spacing w:after="0" w:line="240" w:lineRule="auto"/>
      <w:jc w:val="center"/>
    </w:pPr>
    <w:rPr>
      <w:rFonts w:ascii="Times New Roman" w:hAnsi="Times New Roman"/>
      <w:sz w:val="40"/>
      <w:szCs w:val="20"/>
      <w:lang w:val="en-AU" w:bidi="ar-SA"/>
    </w:rPr>
  </w:style>
  <w:style w:type="character" w:customStyle="1" w:styleId="BodyText2Char">
    <w:name w:val="Body Text 2 Char"/>
    <w:basedOn w:val="DefaultParagraphFont"/>
    <w:link w:val="BodyText2"/>
    <w:rsid w:val="00F57457"/>
    <w:rPr>
      <w:rFonts w:ascii="Times New Roman" w:hAnsi="Times New Roman"/>
      <w:sz w:val="40"/>
      <w:lang w:eastAsia="en-US"/>
    </w:rPr>
  </w:style>
  <w:style w:type="paragraph" w:styleId="BodyText">
    <w:name w:val="Body Text"/>
    <w:basedOn w:val="Normal"/>
    <w:link w:val="BodyTextChar"/>
    <w:uiPriority w:val="99"/>
    <w:semiHidden/>
    <w:unhideWhenUsed/>
    <w:rsid w:val="00E0471B"/>
    <w:pPr>
      <w:spacing w:after="120"/>
    </w:pPr>
  </w:style>
  <w:style w:type="character" w:customStyle="1" w:styleId="BodyTextChar">
    <w:name w:val="Body Text Char"/>
    <w:basedOn w:val="DefaultParagraphFont"/>
    <w:link w:val="BodyText"/>
    <w:uiPriority w:val="99"/>
    <w:semiHidden/>
    <w:rsid w:val="00E0471B"/>
    <w:rPr>
      <w:sz w:val="24"/>
      <w:szCs w:val="22"/>
      <w:lang w:val="en-US" w:eastAsia="en-US" w:bidi="en-US"/>
    </w:rPr>
  </w:style>
  <w:style w:type="paragraph" w:styleId="TOC2">
    <w:name w:val="toc 2"/>
    <w:basedOn w:val="Normal"/>
    <w:next w:val="Normal"/>
    <w:autoRedefine/>
    <w:uiPriority w:val="39"/>
    <w:unhideWhenUsed/>
    <w:qFormat/>
    <w:rsid w:val="00482404"/>
    <w:pPr>
      <w:spacing w:after="100"/>
      <w:ind w:left="240"/>
    </w:pPr>
  </w:style>
  <w:style w:type="paragraph" w:styleId="TOC1">
    <w:name w:val="toc 1"/>
    <w:basedOn w:val="Normal"/>
    <w:next w:val="Normal"/>
    <w:autoRedefine/>
    <w:uiPriority w:val="39"/>
    <w:unhideWhenUsed/>
    <w:qFormat/>
    <w:rsid w:val="0000156E"/>
    <w:pPr>
      <w:tabs>
        <w:tab w:val="right" w:leader="dot" w:pos="9344"/>
      </w:tabs>
      <w:spacing w:after="100"/>
    </w:pPr>
    <w:rPr>
      <w:b/>
      <w:noProof/>
    </w:rPr>
  </w:style>
  <w:style w:type="paragraph" w:styleId="TOC3">
    <w:name w:val="toc 3"/>
    <w:basedOn w:val="Normal"/>
    <w:next w:val="Normal"/>
    <w:autoRedefine/>
    <w:uiPriority w:val="39"/>
    <w:semiHidden/>
    <w:unhideWhenUsed/>
    <w:qFormat/>
    <w:rsid w:val="0000156E"/>
    <w:pPr>
      <w:spacing w:after="100"/>
      <w:ind w:left="44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md.act.gov.au/__data/assets/pdf_file/0004/113584/cabinet-drafting-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d.act.gov.au/__data/assets/pdf_file/0014/425120/CabHB201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md.act.gov.au/__data/assets/pdf_file/0004/113584/cabinet-drafting-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1996-23/default.asp" TargetMode="External"/><Relationship Id="rId5" Type="http://schemas.openxmlformats.org/officeDocument/2006/relationships/webSettings" Target="webSettings.xml"/><Relationship Id="rId15" Type="http://schemas.openxmlformats.org/officeDocument/2006/relationships/hyperlink" Target="http://www.cmd.act.gov.au/__data/assets/pdf_file/0014/425120/CabHB2013.pdf" TargetMode="External"/><Relationship Id="rId10" Type="http://schemas.openxmlformats.org/officeDocument/2006/relationships/hyperlink" Target="http://www.audit.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d.act.gov.au/__data/assets/pdf_file/0018/113607/hbkassembly-in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82608-2E84-411D-AC19-EDD85A8E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Guidelines for responding to performance audit reports by the Auditor-General</vt:lpstr>
    </vt:vector>
  </TitlesOfParts>
  <Company>ACT Government</Company>
  <LinksUpToDate>false</LinksUpToDate>
  <CharactersWithSpaces>22185</CharactersWithSpaces>
  <SharedDoc>false</SharedDoc>
  <HLinks>
    <vt:vector size="24" baseType="variant">
      <vt:variant>
        <vt:i4>2883588</vt:i4>
      </vt:variant>
      <vt:variant>
        <vt:i4>9</vt:i4>
      </vt:variant>
      <vt:variant>
        <vt:i4>0</vt:i4>
      </vt:variant>
      <vt:variant>
        <vt:i4>5</vt:i4>
      </vt:variant>
      <vt:variant>
        <vt:lpwstr>http://www.cmd.act.gov.au/__data/assets/pdf_file/0014/425120/CabHB2013.pdf</vt:lpwstr>
      </vt:variant>
      <vt:variant>
        <vt:lpwstr/>
      </vt:variant>
      <vt:variant>
        <vt:i4>2883588</vt:i4>
      </vt:variant>
      <vt:variant>
        <vt:i4>6</vt:i4>
      </vt:variant>
      <vt:variant>
        <vt:i4>0</vt:i4>
      </vt:variant>
      <vt:variant>
        <vt:i4>5</vt:i4>
      </vt:variant>
      <vt:variant>
        <vt:lpwstr>http://www.cmd.act.gov.au/__data/assets/pdf_file/0014/425120/CabHB2013.pdf</vt:lpwstr>
      </vt:variant>
      <vt:variant>
        <vt:lpwstr/>
      </vt:variant>
      <vt:variant>
        <vt:i4>7798889</vt:i4>
      </vt:variant>
      <vt:variant>
        <vt:i4>3</vt:i4>
      </vt:variant>
      <vt:variant>
        <vt:i4>0</vt:i4>
      </vt:variant>
      <vt:variant>
        <vt:i4>5</vt:i4>
      </vt:variant>
      <vt:variant>
        <vt:lpwstr>http://www.legislation.act.gov.au/a/1996-23/default.asp</vt:lpwstr>
      </vt:variant>
      <vt:variant>
        <vt:lpwstr/>
      </vt:variant>
      <vt:variant>
        <vt:i4>1048603</vt:i4>
      </vt:variant>
      <vt:variant>
        <vt:i4>0</vt:i4>
      </vt:variant>
      <vt:variant>
        <vt:i4>0</vt:i4>
      </vt:variant>
      <vt:variant>
        <vt:i4>5</vt:i4>
      </vt:variant>
      <vt:variant>
        <vt:lpwstr>http://www.audit.act.gov.au/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responding to performance audit reports by the Auditor-General</dc:title>
  <dc:subject>Responding to Auditor-General Performance Reports</dc:subject>
  <dc:creator>Director, Cabinet and Intergovernmental Relations</dc:creator>
  <cp:lastModifiedBy>Maskell, Alan</cp:lastModifiedBy>
  <cp:revision>5</cp:revision>
  <cp:lastPrinted>2017-01-13T00:24:00Z</cp:lastPrinted>
  <dcterms:created xsi:type="dcterms:W3CDTF">2017-04-04T00:44:00Z</dcterms:created>
  <dcterms:modified xsi:type="dcterms:W3CDTF">2017-04-04T02:02:00Z</dcterms:modified>
  <cp:category>Government Relations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Government Relations</vt:lpwstr>
  </property>
  <property fmtid="{D5CDD505-2E9C-101B-9397-08002B2CF9AE}" pid="3" name="Publisher">
    <vt:lpwstr>ACT Government, Chief Minister and Treasury Directorate</vt:lpwstr>
  </property>
  <property fmtid="{D5CDD505-2E9C-101B-9397-08002B2CF9AE}" pid="4" name="Descripition">
    <vt:lpwstr>Responding to Auditor-General Performance Reports</vt:lpwstr>
  </property>
</Properties>
</file>