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3283551"/>
        <w:docPartObj>
          <w:docPartGallery w:val="Cover Pages"/>
          <w:docPartUnique/>
        </w:docPartObj>
      </w:sdtPr>
      <w:sdtEndPr>
        <w:rPr>
          <w:rFonts w:asciiTheme="minorHAnsi" w:eastAsiaTheme="minorHAnsi" w:hAnsiTheme="minorHAnsi" w:cstheme="minorBidi"/>
          <w:bCs/>
          <w:color w:val="808080" w:themeColor="text1" w:themeTint="7F"/>
        </w:rPr>
      </w:sdtEndPr>
      <w:sdtContent>
        <w:tbl>
          <w:tblPr>
            <w:tblW w:w="5000" w:type="pct"/>
            <w:jc w:val="center"/>
            <w:tblLook w:val="04A0"/>
          </w:tblPr>
          <w:tblGrid>
            <w:gridCol w:w="9576"/>
          </w:tblGrid>
          <w:tr w:rsidR="00BD43C1">
            <w:trPr>
              <w:trHeight w:val="2880"/>
              <w:jc w:val="center"/>
            </w:trPr>
            <w:tc>
              <w:tcPr>
                <w:tcW w:w="5000" w:type="pct"/>
              </w:tcPr>
              <w:p w:rsidR="00BD43C1" w:rsidRDefault="00A61CF8" w:rsidP="00A61CF8">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AU" w:eastAsia="en-AU"/>
                  </w:rPr>
                  <w:drawing>
                    <wp:inline distT="0" distB="0" distL="0" distR="0">
                      <wp:extent cx="1909549" cy="974062"/>
                      <wp:effectExtent l="19050" t="0" r="0" b="0"/>
                      <wp:docPr id="1" name="Picture 0" descr="ACTGov_inline_2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ov_inline_293.wmf"/>
                              <pic:cNvPicPr/>
                            </pic:nvPicPr>
                            <pic:blipFill>
                              <a:blip r:embed="rId9" cstate="print"/>
                              <a:stretch>
                                <a:fillRect/>
                              </a:stretch>
                            </pic:blipFill>
                            <pic:spPr>
                              <a:xfrm>
                                <a:off x="0" y="0"/>
                                <a:ext cx="1921194" cy="980002"/>
                              </a:xfrm>
                              <a:prstGeom prst="rect">
                                <a:avLst/>
                              </a:prstGeom>
                            </pic:spPr>
                          </pic:pic>
                        </a:graphicData>
                      </a:graphic>
                    </wp:inline>
                  </w:drawing>
                </w:r>
              </w:p>
            </w:tc>
          </w:tr>
          <w:tr w:rsidR="00BD43C1">
            <w:trPr>
              <w:trHeight w:val="1440"/>
              <w:jc w:val="center"/>
            </w:trPr>
            <w:sdt>
              <w:sdtPr>
                <w:rPr>
                  <w:rFonts w:eastAsiaTheme="majorEastAsia" w:cstheme="minorHAnsi"/>
                  <w:color w:val="004EBA"/>
                  <w:sz w:val="64"/>
                  <w:szCs w:val="6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D43C1" w:rsidRPr="00895CE6" w:rsidRDefault="00C83747" w:rsidP="00C83747">
                    <w:pPr>
                      <w:pStyle w:val="NoSpacing"/>
                      <w:jc w:val="center"/>
                      <w:rPr>
                        <w:rFonts w:asciiTheme="majorHAnsi" w:eastAsiaTheme="majorEastAsia" w:hAnsiTheme="majorHAnsi" w:cstheme="majorBidi"/>
                        <w:color w:val="004EBA"/>
                        <w:sz w:val="80"/>
                        <w:szCs w:val="80"/>
                      </w:rPr>
                    </w:pPr>
                    <w:r w:rsidRPr="00895CE6">
                      <w:rPr>
                        <w:rFonts w:eastAsiaTheme="majorEastAsia" w:cstheme="minorHAnsi"/>
                        <w:color w:val="004EBA"/>
                        <w:sz w:val="64"/>
                        <w:szCs w:val="64"/>
                        <w:lang w:val="en-AU"/>
                      </w:rPr>
                      <w:t>Detecting Disadvantage in the ACT</w:t>
                    </w:r>
                  </w:p>
                </w:tc>
              </w:sdtContent>
            </w:sdt>
          </w:tr>
          <w:tr w:rsidR="00BD43C1">
            <w:trPr>
              <w:trHeight w:val="720"/>
              <w:jc w:val="center"/>
            </w:trPr>
            <w:sdt>
              <w:sdtPr>
                <w:rPr>
                  <w:rFonts w:eastAsiaTheme="majorEastAsia" w:cstheme="minorHAnsi"/>
                  <w:color w:val="004EBA"/>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D43C1" w:rsidRPr="00895CE6" w:rsidRDefault="0072787E" w:rsidP="003C3091">
                    <w:pPr>
                      <w:pStyle w:val="NoSpacing"/>
                      <w:spacing w:before="240"/>
                      <w:jc w:val="center"/>
                      <w:rPr>
                        <w:rFonts w:asciiTheme="majorHAnsi" w:eastAsiaTheme="majorEastAsia" w:hAnsiTheme="majorHAnsi" w:cstheme="majorBidi"/>
                        <w:color w:val="004EBA"/>
                        <w:sz w:val="44"/>
                        <w:szCs w:val="44"/>
                      </w:rPr>
                    </w:pPr>
                    <w:r w:rsidRPr="00895CE6">
                      <w:rPr>
                        <w:rFonts w:eastAsiaTheme="majorEastAsia" w:cstheme="minorHAnsi"/>
                        <w:color w:val="004EBA"/>
                        <w:sz w:val="28"/>
                        <w:szCs w:val="28"/>
                        <w:lang w:val="en-AU"/>
                      </w:rPr>
                      <w:t xml:space="preserve">Report on the </w:t>
                    </w:r>
                    <w:r w:rsidR="003C3091" w:rsidRPr="00895CE6">
                      <w:rPr>
                        <w:rFonts w:eastAsiaTheme="majorEastAsia" w:cstheme="minorHAnsi"/>
                        <w:color w:val="004EBA"/>
                        <w:sz w:val="28"/>
                        <w:szCs w:val="28"/>
                        <w:lang w:val="en-AU"/>
                      </w:rPr>
                      <w:t xml:space="preserve">comparative </w:t>
                    </w:r>
                    <w:r w:rsidRPr="00895CE6">
                      <w:rPr>
                        <w:rFonts w:eastAsiaTheme="majorEastAsia" w:cstheme="minorHAnsi"/>
                        <w:color w:val="004EBA"/>
                        <w:sz w:val="28"/>
                        <w:szCs w:val="28"/>
                        <w:lang w:val="en-AU"/>
                      </w:rPr>
                      <w:t xml:space="preserve">analysis of </w:t>
                    </w:r>
                    <w:r w:rsidR="003C3091" w:rsidRPr="00895CE6">
                      <w:rPr>
                        <w:rFonts w:eastAsiaTheme="majorEastAsia" w:cstheme="minorHAnsi"/>
                        <w:color w:val="004EBA"/>
                        <w:sz w:val="28"/>
                        <w:szCs w:val="28"/>
                        <w:lang w:val="en-AU"/>
                      </w:rPr>
                      <w:t xml:space="preserve">the </w:t>
                    </w:r>
                    <w:r w:rsidRPr="00895CE6">
                      <w:rPr>
                        <w:rFonts w:eastAsiaTheme="majorEastAsia" w:cstheme="minorHAnsi"/>
                        <w:color w:val="004EBA"/>
                        <w:sz w:val="28"/>
                        <w:szCs w:val="28"/>
                        <w:lang w:val="en-AU"/>
                      </w:rPr>
                      <w:t xml:space="preserve">SEIFI </w:t>
                    </w:r>
                    <w:r w:rsidR="003C3091" w:rsidRPr="00895CE6">
                      <w:rPr>
                        <w:rFonts w:eastAsiaTheme="majorEastAsia" w:cstheme="minorHAnsi"/>
                        <w:color w:val="004EBA"/>
                        <w:sz w:val="28"/>
                        <w:szCs w:val="28"/>
                        <w:lang w:val="en-AU"/>
                      </w:rPr>
                      <w:t xml:space="preserve">and SEIFA indexes of relative socio-economic disadvantage </w:t>
                    </w:r>
                    <w:r w:rsidRPr="00895CE6">
                      <w:rPr>
                        <w:rFonts w:eastAsiaTheme="majorEastAsia" w:cstheme="minorHAnsi"/>
                        <w:color w:val="004EBA"/>
                        <w:sz w:val="28"/>
                        <w:szCs w:val="28"/>
                        <w:lang w:val="en-AU"/>
                      </w:rPr>
                      <w:t>in the Australian Capital Territory</w:t>
                    </w:r>
                  </w:p>
                </w:tc>
              </w:sdtContent>
            </w:sdt>
          </w:tr>
          <w:tr w:rsidR="00BD43C1">
            <w:trPr>
              <w:trHeight w:val="360"/>
              <w:jc w:val="center"/>
            </w:trPr>
            <w:tc>
              <w:tcPr>
                <w:tcW w:w="5000" w:type="pct"/>
                <w:vAlign w:val="center"/>
              </w:tcPr>
              <w:p w:rsidR="00BD43C1" w:rsidRDefault="00BD43C1">
                <w:pPr>
                  <w:pStyle w:val="NoSpacing"/>
                  <w:jc w:val="center"/>
                </w:pPr>
              </w:p>
              <w:p w:rsidR="00A04AEF" w:rsidRDefault="00A04AEF">
                <w:pPr>
                  <w:pStyle w:val="NoSpacing"/>
                  <w:jc w:val="center"/>
                </w:pPr>
              </w:p>
              <w:p w:rsidR="00A04AEF" w:rsidRDefault="00A04AEF">
                <w:pPr>
                  <w:pStyle w:val="NoSpacing"/>
                  <w:jc w:val="center"/>
                </w:pPr>
              </w:p>
              <w:p w:rsidR="00A04AEF" w:rsidRDefault="00A04AEF">
                <w:pPr>
                  <w:pStyle w:val="NoSpacing"/>
                  <w:jc w:val="center"/>
                </w:pPr>
              </w:p>
              <w:p w:rsidR="00A04AEF" w:rsidRDefault="00A04AEF">
                <w:pPr>
                  <w:pStyle w:val="NoSpacing"/>
                  <w:jc w:val="center"/>
                </w:pPr>
              </w:p>
              <w:p w:rsidR="00A04AEF" w:rsidRDefault="00A04AEF">
                <w:pPr>
                  <w:pStyle w:val="NoSpacing"/>
                  <w:jc w:val="center"/>
                </w:pPr>
              </w:p>
              <w:p w:rsidR="00A04AEF" w:rsidRDefault="00A04AEF">
                <w:pPr>
                  <w:pStyle w:val="NoSpacing"/>
                  <w:jc w:val="center"/>
                </w:pPr>
              </w:p>
              <w:p w:rsidR="00A04AEF" w:rsidRDefault="00A04AEF">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p w:rsidR="00E400C8" w:rsidRDefault="00E400C8">
                <w:pPr>
                  <w:pStyle w:val="NoSpacing"/>
                  <w:jc w:val="center"/>
                </w:pPr>
              </w:p>
            </w:tc>
          </w:tr>
          <w:tr w:rsidR="00BD43C1">
            <w:trPr>
              <w:trHeight w:val="360"/>
              <w:jc w:val="center"/>
            </w:trPr>
            <w:tc>
              <w:tcPr>
                <w:tcW w:w="5000" w:type="pct"/>
                <w:vAlign w:val="center"/>
              </w:tcPr>
              <w:p w:rsidR="00BD43C1" w:rsidRPr="00A04AEF" w:rsidRDefault="00BD43C1" w:rsidP="00EE76CB">
                <w:pPr>
                  <w:pStyle w:val="NoSpacing"/>
                  <w:jc w:val="center"/>
                  <w:rPr>
                    <w:bCs/>
                    <w:sz w:val="24"/>
                    <w:szCs w:val="24"/>
                  </w:rPr>
                </w:pPr>
              </w:p>
            </w:tc>
          </w:tr>
          <w:tr w:rsidR="00BD43C1">
            <w:trPr>
              <w:trHeight w:val="360"/>
              <w:jc w:val="center"/>
            </w:trPr>
            <w:tc>
              <w:tcPr>
                <w:tcW w:w="5000" w:type="pct"/>
                <w:vAlign w:val="center"/>
              </w:tcPr>
              <w:p w:rsidR="00BD43C1" w:rsidRPr="00E1250B" w:rsidRDefault="00A04AEF" w:rsidP="00A04AEF">
                <w:pPr>
                  <w:pStyle w:val="NoSpacing"/>
                  <w:jc w:val="center"/>
                  <w:rPr>
                    <w:bCs/>
                    <w:color w:val="004EBA"/>
                    <w:sz w:val="44"/>
                    <w:szCs w:val="44"/>
                  </w:rPr>
                </w:pPr>
                <w:r w:rsidRPr="00E1250B">
                  <w:rPr>
                    <w:bCs/>
                    <w:color w:val="004EBA"/>
                    <w:sz w:val="44"/>
                    <w:szCs w:val="44"/>
                    <w:lang w:val="en-US"/>
                  </w:rPr>
                  <w:t>2012</w:t>
                </w:r>
              </w:p>
            </w:tc>
          </w:tr>
        </w:tbl>
        <w:p w:rsidR="00BD43C1" w:rsidRDefault="00BD43C1"/>
        <w:p w:rsidR="00BD43C1" w:rsidRDefault="00BD43C1"/>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E400C8" w:rsidRDefault="00E400C8" w:rsidP="00E400C8">
          <w:pPr>
            <w:rPr>
              <w:bCs/>
              <w:caps/>
              <w:color w:val="808080" w:themeColor="text1" w:themeTint="7F"/>
            </w:rPr>
          </w:pPr>
        </w:p>
        <w:p w:rsidR="00662824" w:rsidRDefault="00662824">
          <w:pPr>
            <w:rPr>
              <w:bCs/>
              <w:caps/>
              <w:color w:val="808080" w:themeColor="text1" w:themeTint="7F"/>
            </w:rPr>
          </w:pPr>
        </w:p>
        <w:p w:rsidR="00662824" w:rsidRDefault="00662824">
          <w:pPr>
            <w:rPr>
              <w:bCs/>
              <w:caps/>
              <w:color w:val="808080" w:themeColor="text1" w:themeTint="7F"/>
            </w:rPr>
          </w:pPr>
        </w:p>
        <w:p w:rsidR="00662824" w:rsidRDefault="00662824">
          <w:pPr>
            <w:rPr>
              <w:bCs/>
              <w:caps/>
              <w:color w:val="808080" w:themeColor="text1" w:themeTint="7F"/>
            </w:rPr>
          </w:pPr>
        </w:p>
        <w:p w:rsidR="00662824" w:rsidRDefault="00662824">
          <w:pPr>
            <w:rPr>
              <w:bCs/>
              <w:caps/>
              <w:color w:val="808080" w:themeColor="text1" w:themeTint="7F"/>
            </w:rPr>
          </w:pPr>
        </w:p>
        <w:p w:rsidR="00662824" w:rsidRDefault="00D67B26">
          <w:pPr>
            <w:rPr>
              <w:bCs/>
              <w:caps/>
              <w:color w:val="808080" w:themeColor="text1" w:themeTint="7F"/>
            </w:rPr>
          </w:pPr>
        </w:p>
      </w:sdtContent>
    </w:sdt>
    <w:p w:rsidR="0071784F" w:rsidRPr="008230AD" w:rsidRDefault="00D67B26" w:rsidP="008230AD">
      <w:pPr>
        <w:pStyle w:val="Heading1"/>
      </w:pPr>
      <w:r>
        <w:rPr>
          <w:noProof/>
          <w:lang w:val="en-AU" w:eastAsia="en-AU"/>
        </w:rPr>
        <w:pict>
          <v:shapetype id="_x0000_t202" coordsize="21600,21600" o:spt="202" path="m,l,21600r21600,l21600,xe">
            <v:stroke joinstyle="miter"/>
            <v:path gradientshapeok="t" o:connecttype="rect"/>
          </v:shapetype>
          <v:shape id="_x0000_s1071" type="#_x0000_t202" style="position:absolute;margin-left:-.75pt;margin-top:47.3pt;width:469.3pt;height:211.8pt;z-index:251732992;mso-width-relative:margin;mso-height-relative:margin">
            <v:textbox>
              <w:txbxContent>
                <w:p w:rsidR="006B6874" w:rsidRPr="00AD3DB2" w:rsidRDefault="006B6874" w:rsidP="00B348E0">
                  <w:pPr>
                    <w:rPr>
                      <w:b/>
                    </w:rPr>
                  </w:pPr>
                  <w:r>
                    <w:rPr>
                      <w:b/>
                    </w:rPr>
                    <w:t>Statement of Interest</w:t>
                  </w:r>
                </w:p>
                <w:p w:rsidR="006B6874" w:rsidRDefault="006B6874" w:rsidP="00B348E0">
                  <w:r>
                    <w:t xml:space="preserve">This analysis and the accompanying report were prepared by the Data and Research Unit of ACT Community Services Directorate. This project was lead by the CSD Data and Research Unit due its technical expertise and historical involvement in the development of SEIFI.  Funding for this project was provided by ACT Chief Ministers and Cabinet Directorate, ACT Community Services Directorate, ACT Education and Training Directorate, ACT Health Directorate, and ACT Justice and Community Safety Directorate. </w:t>
                  </w:r>
                </w:p>
                <w:p w:rsidR="006B6874" w:rsidRDefault="006B6874" w:rsidP="00B348E0">
                  <w:r>
                    <w:t>The data used in this analysis was obtained from the Australian Bureau of Statistics (ABS) and was developed using funding from the Annual Statistics Consultancy Fund (ASCF), which is provided by the ABS ACT Regional Office for projects initiated by the ACT Government that assist the latter to participate in the National Statistical Service. ACT Chief Minister and Cabinet lead the submission for this funding and the pursuant partnership.</w:t>
                  </w:r>
                </w:p>
                <w:p w:rsidR="006B6874" w:rsidRDefault="006B6874" w:rsidP="00B348E0"/>
              </w:txbxContent>
            </v:textbox>
          </v:shape>
        </w:pict>
      </w:r>
      <w:r w:rsidR="00662824">
        <w:rPr>
          <w:bCs w:val="0"/>
          <w:caps w:val="0"/>
          <w:color w:val="808080" w:themeColor="text1" w:themeTint="7F"/>
        </w:rPr>
        <w:br w:type="page"/>
      </w:r>
      <w:bookmarkStart w:id="0" w:name="_Toc339633171"/>
      <w:bookmarkStart w:id="1" w:name="_Toc358033176"/>
      <w:r w:rsidR="0071784F" w:rsidRPr="008230AD">
        <w:lastRenderedPageBreak/>
        <w:t>Executive Summary</w:t>
      </w:r>
      <w:bookmarkEnd w:id="0"/>
      <w:bookmarkEnd w:id="1"/>
    </w:p>
    <w:p w:rsidR="00A96786" w:rsidRDefault="00A96786" w:rsidP="0071784F">
      <w:r>
        <w:t xml:space="preserve">Knowing where vulnerable and disadvantaged persons in our population can assist in targeting policies and programs efficiently and effectively. To measure a person’s socio-economic status is one way commonly used in doing this. </w:t>
      </w:r>
    </w:p>
    <w:p w:rsidR="0071784F" w:rsidRDefault="0071784F" w:rsidP="0071784F">
      <w:r>
        <w:t>The Socio-Economic Indexes for Individuals (SEIFI) is a new, multi-dimensional measure of relative socio-economic disadvantage specifically designed to measure an individual’s relative access to material and social resources based on personal attributes such as income, educational background, or housing status using information from the 2006 Census</w:t>
      </w:r>
      <w:r w:rsidR="00FB00E8">
        <w:t xml:space="preserve"> and produced by the Australian Bureau of Statistics (ABS)</w:t>
      </w:r>
      <w:r w:rsidR="000E0298">
        <w:t>. The ACT Government, lead by CMCD used funding from the Annual Statistical Consultancy Fund toward the development of these indexes.</w:t>
      </w:r>
    </w:p>
    <w:p w:rsidR="0071784F" w:rsidRDefault="0071784F" w:rsidP="0071784F">
      <w:r>
        <w:t xml:space="preserve">SEIFA (Socio-Economic Indexes for Areas) is an existing Census-based measure that captures population-based characteristics of disadvantage as well as the social or structural characteristics of an area that may limit or promote the ability of its residents to participate fully in society. Currently, SEIFA is also commonly used by the Commonwealth Grants Commission and other government and community service organisations in funding agreements such as the GST distribution and National Partnership payments as a proxy measure for the prevalence and extent of disadvantage. </w:t>
      </w:r>
    </w:p>
    <w:p w:rsidR="0071784F" w:rsidRDefault="0071784F" w:rsidP="0071784F">
      <w:r>
        <w:t xml:space="preserve">The SEIFI data has shown that the ACT has one of the highest proportions of ‘diverse’ suburbs/collection districts (CDs), where diverse suburbs/CDs have high numbers of both the most and the least disadvantaged individuals living side by side. This is highly unique to the ACT and, as a result, the averaging effects of SEIFA chronically under-reports disadvantage. </w:t>
      </w:r>
    </w:p>
    <w:p w:rsidR="0071784F" w:rsidRDefault="0071784F" w:rsidP="0071784F">
      <w:pPr>
        <w:rPr>
          <w:b/>
          <w:bCs/>
          <w:caps/>
        </w:rPr>
      </w:pPr>
      <w:r>
        <w:t xml:space="preserve">The SEIFI analysis has revealed that the ACT has a much higher level of relative disadvantage than has previously been reported by SEIFA, and that the SEIFA indexes are a poor predictor of individual-level disadvantage in the ACT. While the statistical evidence of this is new, it has long since been known at the service level </w:t>
      </w:r>
      <w:proofErr w:type="gramStart"/>
      <w:r>
        <w:t>that  ACT</w:t>
      </w:r>
      <w:proofErr w:type="gramEnd"/>
      <w:r>
        <w:t xml:space="preserve"> experiences much greater disadvantage than is reported nationally.  </w:t>
      </w:r>
    </w:p>
    <w:p w:rsidR="0071784F" w:rsidRDefault="0071784F" w:rsidP="0071784F">
      <w:r>
        <w:t>While the SEIFA index has identified 712 ACT residents who fall into the most disadvantaged 20% of all Australians,</w:t>
      </w:r>
      <w:r w:rsidR="00C83747">
        <w:t xml:space="preserve"> ACT </w:t>
      </w:r>
      <w:proofErr w:type="gramStart"/>
      <w:r w:rsidR="00C83747">
        <w:t xml:space="preserve">Government </w:t>
      </w:r>
      <w:r>
        <w:t xml:space="preserve"> SEIFI</w:t>
      </w:r>
      <w:proofErr w:type="gramEnd"/>
      <w:r>
        <w:t xml:space="preserve">-based calculations estimate that approximately 40,400 ACT residents may fall into this category. Of the ACT population aged 15-64, 28,639 individuals fall into the most disadvantaged quintile and 26,001 individuals fall into the second most disadvantaged quintile. Over 90% of these disadvantaged individuals reside in areas with SEIFA scores that mask their disadvantage. </w:t>
      </w:r>
    </w:p>
    <w:p w:rsidR="0071784F" w:rsidRDefault="0071784F" w:rsidP="0071784F">
      <w:r>
        <w:t xml:space="preserve">SEIFI has the potential to strengthen the ability of ACT </w:t>
      </w:r>
      <w:r w:rsidR="00D90AEF">
        <w:t xml:space="preserve">Government and </w:t>
      </w:r>
      <w:r>
        <w:t xml:space="preserve">community organisations to more effectively and efficiently provide targeted, integrated services that best address the needs of the vulnerable and disadvantaged individuals and families in the ACT. Due to certain methodological limitations, such as </w:t>
      </w:r>
      <w:proofErr w:type="gramStart"/>
      <w:r>
        <w:t>the  exclusion</w:t>
      </w:r>
      <w:proofErr w:type="gramEnd"/>
      <w:r>
        <w:t xml:space="preserve"> of children and the aged and the introduction of the new Census geography, SEIFI requires ongoing development. The</w:t>
      </w:r>
      <w:r w:rsidRPr="00D1601B">
        <w:t xml:space="preserve"> </w:t>
      </w:r>
      <w:r>
        <w:t xml:space="preserve">ACT Government should work closely with the </w:t>
      </w:r>
      <w:r w:rsidR="00FB00E8">
        <w:t>ABS</w:t>
      </w:r>
      <w:r>
        <w:t xml:space="preserve"> to support the construction of SEIFI using data from the 2011 Census and to consult on its design to </w:t>
      </w:r>
      <w:r>
        <w:lastRenderedPageBreak/>
        <w:t xml:space="preserve">ensure it is fit-for-purpose. The ACT Government should also encourage further research with the SEIFI indexes and champion their use as a more appropriate alternative wherever SEIFA is applied as a proxy to inform policy making and funding decisions in the ACT. </w:t>
      </w:r>
    </w:p>
    <w:p w:rsidR="0071784F" w:rsidRDefault="0071784F">
      <w:pPr>
        <w:rPr>
          <w:bCs/>
          <w:caps/>
          <w:color w:val="808080" w:themeColor="text1" w:themeTint="7F"/>
        </w:rPr>
      </w:pPr>
      <w:r>
        <w:rPr>
          <w:bCs/>
          <w:caps/>
          <w:color w:val="808080" w:themeColor="text1" w:themeTint="7F"/>
        </w:rPr>
        <w:br w:type="page"/>
      </w:r>
    </w:p>
    <w:sdt>
      <w:sdtPr>
        <w:rPr>
          <w:rFonts w:eastAsiaTheme="minorHAnsi" w:cstheme="minorBidi"/>
          <w:color w:val="auto"/>
          <w:sz w:val="22"/>
          <w:szCs w:val="22"/>
        </w:rPr>
        <w:id w:val="363716443"/>
        <w:docPartObj>
          <w:docPartGallery w:val="Table of Contents"/>
          <w:docPartUnique/>
        </w:docPartObj>
      </w:sdtPr>
      <w:sdtEndPr>
        <w:rPr>
          <w:b w:val="0"/>
          <w:bCs w:val="0"/>
          <w:caps w:val="0"/>
          <w:noProof/>
        </w:rPr>
      </w:sdtEndPr>
      <w:sdtContent>
        <w:bookmarkStart w:id="2" w:name="_Toc358033177" w:displacedByCustomXml="prev"/>
        <w:p w:rsidR="003740E8" w:rsidRDefault="0007452C" w:rsidP="008230AD">
          <w:pPr>
            <w:pStyle w:val="Heading1"/>
            <w:spacing w:after="0"/>
          </w:pPr>
          <w:r>
            <w:t>TABLe of c</w:t>
          </w:r>
          <w:r w:rsidR="003740E8" w:rsidRPr="00265213">
            <w:t>ontents</w:t>
          </w:r>
          <w:bookmarkEnd w:id="2"/>
        </w:p>
        <w:p w:rsidR="008230AD" w:rsidRDefault="00D67B26" w:rsidP="008230AD">
          <w:pPr>
            <w:pStyle w:val="TOC1"/>
            <w:spacing w:before="240"/>
            <w:rPr>
              <w:rFonts w:eastAsiaTheme="minorEastAsia"/>
              <w:bCs w:val="0"/>
              <w:caps w:val="0"/>
              <w:noProof/>
              <w:color w:val="auto"/>
              <w:sz w:val="22"/>
              <w:szCs w:val="22"/>
              <w:lang w:val="en-AU" w:eastAsia="en-AU"/>
            </w:rPr>
          </w:pPr>
          <w:r w:rsidRPr="00D67B26">
            <w:rPr>
              <w:bCs w:val="0"/>
              <w:caps w:val="0"/>
            </w:rPr>
            <w:fldChar w:fldCharType="begin"/>
          </w:r>
          <w:r w:rsidR="004D47F5">
            <w:rPr>
              <w:bCs w:val="0"/>
              <w:caps w:val="0"/>
            </w:rPr>
            <w:instrText xml:space="preserve"> TOC \o "1-5" \h \z \u </w:instrText>
          </w:r>
          <w:r w:rsidRPr="00D67B26">
            <w:rPr>
              <w:bCs w:val="0"/>
              <w:caps w:val="0"/>
            </w:rPr>
            <w:fldChar w:fldCharType="separate"/>
          </w:r>
          <w:hyperlink w:anchor="_Toc358033176" w:history="1">
            <w:r w:rsidR="008230AD" w:rsidRPr="005C3015">
              <w:rPr>
                <w:rStyle w:val="Hyperlink"/>
                <w:noProof/>
              </w:rPr>
              <w:t>Executive Summary</w:t>
            </w:r>
            <w:r w:rsidR="008230AD">
              <w:rPr>
                <w:noProof/>
                <w:webHidden/>
              </w:rPr>
              <w:tab/>
            </w:r>
            <w:r w:rsidR="008230AD">
              <w:rPr>
                <w:noProof/>
                <w:webHidden/>
              </w:rPr>
              <w:fldChar w:fldCharType="begin"/>
            </w:r>
            <w:r w:rsidR="008230AD">
              <w:rPr>
                <w:noProof/>
                <w:webHidden/>
              </w:rPr>
              <w:instrText xml:space="preserve"> PAGEREF _Toc358033176 \h </w:instrText>
            </w:r>
            <w:r w:rsidR="008230AD">
              <w:rPr>
                <w:noProof/>
                <w:webHidden/>
              </w:rPr>
            </w:r>
            <w:r w:rsidR="008230AD">
              <w:rPr>
                <w:noProof/>
                <w:webHidden/>
              </w:rPr>
              <w:fldChar w:fldCharType="separate"/>
            </w:r>
            <w:r w:rsidR="008230AD">
              <w:rPr>
                <w:noProof/>
                <w:webHidden/>
              </w:rPr>
              <w:t>3</w:t>
            </w:r>
            <w:r w:rsidR="008230AD">
              <w:rPr>
                <w:noProof/>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178" w:history="1">
            <w:r w:rsidRPr="005C3015">
              <w:rPr>
                <w:rStyle w:val="Hyperlink"/>
                <w:noProof/>
              </w:rPr>
              <w:t>Tables and Figures</w:t>
            </w:r>
            <w:r>
              <w:rPr>
                <w:noProof/>
                <w:webHidden/>
              </w:rPr>
              <w:tab/>
            </w:r>
            <w:r>
              <w:rPr>
                <w:noProof/>
                <w:webHidden/>
              </w:rPr>
              <w:fldChar w:fldCharType="begin"/>
            </w:r>
            <w:r>
              <w:rPr>
                <w:noProof/>
                <w:webHidden/>
              </w:rPr>
              <w:instrText xml:space="preserve"> PAGEREF _Toc358033178 \h </w:instrText>
            </w:r>
            <w:r>
              <w:rPr>
                <w:noProof/>
                <w:webHidden/>
              </w:rPr>
            </w:r>
            <w:r>
              <w:rPr>
                <w:noProof/>
                <w:webHidden/>
              </w:rPr>
              <w:fldChar w:fldCharType="separate"/>
            </w:r>
            <w:r>
              <w:rPr>
                <w:noProof/>
                <w:webHidden/>
              </w:rPr>
              <w:t>7</w:t>
            </w:r>
            <w:r>
              <w:rPr>
                <w:noProof/>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179" w:history="1">
            <w:r w:rsidRPr="005C3015">
              <w:rPr>
                <w:rStyle w:val="Hyperlink"/>
                <w:noProof/>
              </w:rPr>
              <w:t>Abbreviations</w:t>
            </w:r>
            <w:r>
              <w:rPr>
                <w:noProof/>
                <w:webHidden/>
              </w:rPr>
              <w:tab/>
            </w:r>
            <w:r>
              <w:rPr>
                <w:noProof/>
                <w:webHidden/>
              </w:rPr>
              <w:fldChar w:fldCharType="begin"/>
            </w:r>
            <w:r>
              <w:rPr>
                <w:noProof/>
                <w:webHidden/>
              </w:rPr>
              <w:instrText xml:space="preserve"> PAGEREF _Toc358033179 \h </w:instrText>
            </w:r>
            <w:r>
              <w:rPr>
                <w:noProof/>
                <w:webHidden/>
              </w:rPr>
            </w:r>
            <w:r>
              <w:rPr>
                <w:noProof/>
                <w:webHidden/>
              </w:rPr>
              <w:fldChar w:fldCharType="separate"/>
            </w:r>
            <w:r>
              <w:rPr>
                <w:noProof/>
                <w:webHidden/>
              </w:rPr>
              <w:t>8</w:t>
            </w:r>
            <w:r>
              <w:rPr>
                <w:noProof/>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180" w:history="1">
            <w:r w:rsidRPr="005C3015">
              <w:rPr>
                <w:rStyle w:val="Hyperlink"/>
                <w:noProof/>
              </w:rPr>
              <w:t>Summary</w:t>
            </w:r>
            <w:r>
              <w:rPr>
                <w:noProof/>
                <w:webHidden/>
              </w:rPr>
              <w:tab/>
            </w:r>
            <w:r>
              <w:rPr>
                <w:noProof/>
                <w:webHidden/>
              </w:rPr>
              <w:fldChar w:fldCharType="begin"/>
            </w:r>
            <w:r>
              <w:rPr>
                <w:noProof/>
                <w:webHidden/>
              </w:rPr>
              <w:instrText xml:space="preserve"> PAGEREF _Toc358033180 \h </w:instrText>
            </w:r>
            <w:r>
              <w:rPr>
                <w:noProof/>
                <w:webHidden/>
              </w:rPr>
            </w:r>
            <w:r>
              <w:rPr>
                <w:noProof/>
                <w:webHidden/>
              </w:rPr>
              <w:fldChar w:fldCharType="separate"/>
            </w:r>
            <w:r>
              <w:rPr>
                <w:noProof/>
                <w:webHidden/>
              </w:rPr>
              <w:t>9</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81" w:history="1">
            <w:r w:rsidRPr="005C3015">
              <w:rPr>
                <w:rStyle w:val="Hyperlink"/>
              </w:rPr>
              <w:t>Background</w:t>
            </w:r>
            <w:r>
              <w:rPr>
                <w:webHidden/>
              </w:rPr>
              <w:tab/>
            </w:r>
            <w:r>
              <w:rPr>
                <w:webHidden/>
              </w:rPr>
              <w:fldChar w:fldCharType="begin"/>
            </w:r>
            <w:r>
              <w:rPr>
                <w:webHidden/>
              </w:rPr>
              <w:instrText xml:space="preserve"> PAGEREF _Toc358033181 \h </w:instrText>
            </w:r>
            <w:r>
              <w:rPr>
                <w:webHidden/>
              </w:rPr>
            </w:r>
            <w:r>
              <w:rPr>
                <w:webHidden/>
              </w:rPr>
              <w:fldChar w:fldCharType="separate"/>
            </w:r>
            <w:r>
              <w:rPr>
                <w:webHidden/>
              </w:rPr>
              <w:t>9</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82" w:history="1">
            <w:r w:rsidRPr="005C3015">
              <w:rPr>
                <w:rStyle w:val="Hyperlink"/>
              </w:rPr>
              <w:t>Understanding the SEIFI and SEIFA Scores</w:t>
            </w:r>
            <w:r>
              <w:rPr>
                <w:webHidden/>
              </w:rPr>
              <w:tab/>
            </w:r>
            <w:r>
              <w:rPr>
                <w:webHidden/>
              </w:rPr>
              <w:fldChar w:fldCharType="begin"/>
            </w:r>
            <w:r>
              <w:rPr>
                <w:webHidden/>
              </w:rPr>
              <w:instrText xml:space="preserve"> PAGEREF _Toc358033182 \h </w:instrText>
            </w:r>
            <w:r>
              <w:rPr>
                <w:webHidden/>
              </w:rPr>
            </w:r>
            <w:r>
              <w:rPr>
                <w:webHidden/>
              </w:rPr>
              <w:fldChar w:fldCharType="separate"/>
            </w:r>
            <w:r>
              <w:rPr>
                <w:webHidden/>
              </w:rPr>
              <w:t>9</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83" w:history="1">
            <w:r w:rsidRPr="005C3015">
              <w:rPr>
                <w:rStyle w:val="Hyperlink"/>
              </w:rPr>
              <w:t>Analysis and Key Findings</w:t>
            </w:r>
            <w:r>
              <w:rPr>
                <w:webHidden/>
              </w:rPr>
              <w:tab/>
            </w:r>
            <w:r>
              <w:rPr>
                <w:webHidden/>
              </w:rPr>
              <w:fldChar w:fldCharType="begin"/>
            </w:r>
            <w:r>
              <w:rPr>
                <w:webHidden/>
              </w:rPr>
              <w:instrText xml:space="preserve"> PAGEREF _Toc358033183 \h </w:instrText>
            </w:r>
            <w:r>
              <w:rPr>
                <w:webHidden/>
              </w:rPr>
            </w:r>
            <w:r>
              <w:rPr>
                <w:webHidden/>
              </w:rPr>
              <w:fldChar w:fldCharType="separate"/>
            </w:r>
            <w:r>
              <w:rPr>
                <w:webHidden/>
              </w:rPr>
              <w:t>10</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184" w:history="1">
            <w:r w:rsidRPr="005C3015">
              <w:rPr>
                <w:rStyle w:val="Hyperlink"/>
                <w:noProof/>
              </w:rPr>
              <w:t>Hidden disadvantaged in the ACT:</w:t>
            </w:r>
            <w:r>
              <w:rPr>
                <w:noProof/>
                <w:webHidden/>
              </w:rPr>
              <w:tab/>
            </w:r>
            <w:r>
              <w:rPr>
                <w:noProof/>
                <w:webHidden/>
              </w:rPr>
              <w:fldChar w:fldCharType="begin"/>
            </w:r>
            <w:r>
              <w:rPr>
                <w:noProof/>
                <w:webHidden/>
              </w:rPr>
              <w:instrText xml:space="preserve"> PAGEREF _Toc358033184 \h </w:instrText>
            </w:r>
            <w:r>
              <w:rPr>
                <w:noProof/>
                <w:webHidden/>
              </w:rPr>
            </w:r>
            <w:r>
              <w:rPr>
                <w:noProof/>
                <w:webHidden/>
              </w:rPr>
              <w:fldChar w:fldCharType="separate"/>
            </w:r>
            <w:r>
              <w:rPr>
                <w:noProof/>
                <w:webHidden/>
              </w:rPr>
              <w:t>10</w:t>
            </w:r>
            <w:r>
              <w:rPr>
                <w:noProof/>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185" w:history="1">
            <w:r w:rsidRPr="005C3015">
              <w:rPr>
                <w:rStyle w:val="Hyperlink"/>
                <w:noProof/>
              </w:rPr>
              <w:t>Select Community Profiles:</w:t>
            </w:r>
            <w:r>
              <w:rPr>
                <w:noProof/>
                <w:webHidden/>
              </w:rPr>
              <w:tab/>
            </w:r>
            <w:r>
              <w:rPr>
                <w:noProof/>
                <w:webHidden/>
              </w:rPr>
              <w:fldChar w:fldCharType="begin"/>
            </w:r>
            <w:r>
              <w:rPr>
                <w:noProof/>
                <w:webHidden/>
              </w:rPr>
              <w:instrText xml:space="preserve"> PAGEREF _Toc358033185 \h </w:instrText>
            </w:r>
            <w:r>
              <w:rPr>
                <w:noProof/>
                <w:webHidden/>
              </w:rPr>
            </w:r>
            <w:r>
              <w:rPr>
                <w:noProof/>
                <w:webHidden/>
              </w:rPr>
              <w:fldChar w:fldCharType="separate"/>
            </w:r>
            <w:r>
              <w:rPr>
                <w:noProof/>
                <w:webHidden/>
              </w:rPr>
              <w:t>11</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86" w:history="1">
            <w:r w:rsidRPr="005C3015">
              <w:rPr>
                <w:rStyle w:val="Hyperlink"/>
              </w:rPr>
              <w:t>Challenges and Next Steps for Action</w:t>
            </w:r>
            <w:r>
              <w:rPr>
                <w:webHidden/>
              </w:rPr>
              <w:tab/>
            </w:r>
            <w:r>
              <w:rPr>
                <w:webHidden/>
              </w:rPr>
              <w:fldChar w:fldCharType="begin"/>
            </w:r>
            <w:r>
              <w:rPr>
                <w:webHidden/>
              </w:rPr>
              <w:instrText xml:space="preserve"> PAGEREF _Toc358033186 \h </w:instrText>
            </w:r>
            <w:r>
              <w:rPr>
                <w:webHidden/>
              </w:rPr>
            </w:r>
            <w:r>
              <w:rPr>
                <w:webHidden/>
              </w:rPr>
              <w:fldChar w:fldCharType="separate"/>
            </w:r>
            <w:r>
              <w:rPr>
                <w:webHidden/>
              </w:rPr>
              <w:t>12</w:t>
            </w:r>
            <w:r>
              <w:rPr>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187" w:history="1">
            <w:r w:rsidRPr="005C3015">
              <w:rPr>
                <w:rStyle w:val="Hyperlink"/>
                <w:noProof/>
              </w:rPr>
              <w:t>Section 1: Background and Rationale</w:t>
            </w:r>
            <w:r>
              <w:rPr>
                <w:noProof/>
                <w:webHidden/>
              </w:rPr>
              <w:tab/>
            </w:r>
            <w:r>
              <w:rPr>
                <w:noProof/>
                <w:webHidden/>
              </w:rPr>
              <w:fldChar w:fldCharType="begin"/>
            </w:r>
            <w:r>
              <w:rPr>
                <w:noProof/>
                <w:webHidden/>
              </w:rPr>
              <w:instrText xml:space="preserve"> PAGEREF _Toc358033187 \h </w:instrText>
            </w:r>
            <w:r>
              <w:rPr>
                <w:noProof/>
                <w:webHidden/>
              </w:rPr>
            </w:r>
            <w:r>
              <w:rPr>
                <w:noProof/>
                <w:webHidden/>
              </w:rPr>
              <w:fldChar w:fldCharType="separate"/>
            </w:r>
            <w:r>
              <w:rPr>
                <w:noProof/>
                <w:webHidden/>
              </w:rPr>
              <w:t>13</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88" w:history="1">
            <w:r w:rsidRPr="005C3015">
              <w:rPr>
                <w:rStyle w:val="Hyperlink"/>
              </w:rPr>
              <w:t>SEIFA and SEIFI</w:t>
            </w:r>
            <w:r>
              <w:rPr>
                <w:webHidden/>
              </w:rPr>
              <w:tab/>
            </w:r>
            <w:r>
              <w:rPr>
                <w:webHidden/>
              </w:rPr>
              <w:fldChar w:fldCharType="begin"/>
            </w:r>
            <w:r>
              <w:rPr>
                <w:webHidden/>
              </w:rPr>
              <w:instrText xml:space="preserve"> PAGEREF _Toc358033188 \h </w:instrText>
            </w:r>
            <w:r>
              <w:rPr>
                <w:webHidden/>
              </w:rPr>
            </w:r>
            <w:r>
              <w:rPr>
                <w:webHidden/>
              </w:rPr>
              <w:fldChar w:fldCharType="separate"/>
            </w:r>
            <w:r>
              <w:rPr>
                <w:webHidden/>
              </w:rPr>
              <w:t>13</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89" w:history="1">
            <w:r w:rsidRPr="005C3015">
              <w:rPr>
                <w:rStyle w:val="Hyperlink"/>
              </w:rPr>
              <w:t>The ACT SEIFI Analysis Project</w:t>
            </w:r>
            <w:r>
              <w:rPr>
                <w:webHidden/>
              </w:rPr>
              <w:tab/>
            </w:r>
            <w:r>
              <w:rPr>
                <w:webHidden/>
              </w:rPr>
              <w:fldChar w:fldCharType="begin"/>
            </w:r>
            <w:r>
              <w:rPr>
                <w:webHidden/>
              </w:rPr>
              <w:instrText xml:space="preserve"> PAGEREF _Toc358033189 \h </w:instrText>
            </w:r>
            <w:r>
              <w:rPr>
                <w:webHidden/>
              </w:rPr>
            </w:r>
            <w:r>
              <w:rPr>
                <w:webHidden/>
              </w:rPr>
              <w:fldChar w:fldCharType="separate"/>
            </w:r>
            <w:r>
              <w:rPr>
                <w:webHidden/>
              </w:rPr>
              <w:t>14</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90" w:history="1">
            <w:r w:rsidRPr="005C3015">
              <w:rPr>
                <w:rStyle w:val="Hyperlink"/>
              </w:rPr>
              <w:t>Understanding the SEIFI and SEIFA Scores</w:t>
            </w:r>
            <w:r>
              <w:rPr>
                <w:webHidden/>
              </w:rPr>
              <w:tab/>
            </w:r>
            <w:r>
              <w:rPr>
                <w:webHidden/>
              </w:rPr>
              <w:fldChar w:fldCharType="begin"/>
            </w:r>
            <w:r>
              <w:rPr>
                <w:webHidden/>
              </w:rPr>
              <w:instrText xml:space="preserve"> PAGEREF _Toc358033190 \h </w:instrText>
            </w:r>
            <w:r>
              <w:rPr>
                <w:webHidden/>
              </w:rPr>
            </w:r>
            <w:r>
              <w:rPr>
                <w:webHidden/>
              </w:rPr>
              <w:fldChar w:fldCharType="separate"/>
            </w:r>
            <w:r>
              <w:rPr>
                <w:webHidden/>
              </w:rPr>
              <w:t>16</w:t>
            </w:r>
            <w:r>
              <w:rPr>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191" w:history="1">
            <w:r w:rsidRPr="005C3015">
              <w:rPr>
                <w:rStyle w:val="Hyperlink"/>
                <w:noProof/>
              </w:rPr>
              <w:t>Section 2: Analysis and Key Findings</w:t>
            </w:r>
            <w:r>
              <w:rPr>
                <w:noProof/>
                <w:webHidden/>
              </w:rPr>
              <w:tab/>
            </w:r>
            <w:r>
              <w:rPr>
                <w:noProof/>
                <w:webHidden/>
              </w:rPr>
              <w:fldChar w:fldCharType="begin"/>
            </w:r>
            <w:r>
              <w:rPr>
                <w:noProof/>
                <w:webHidden/>
              </w:rPr>
              <w:instrText xml:space="preserve"> PAGEREF _Toc358033191 \h </w:instrText>
            </w:r>
            <w:r>
              <w:rPr>
                <w:noProof/>
                <w:webHidden/>
              </w:rPr>
            </w:r>
            <w:r>
              <w:rPr>
                <w:noProof/>
                <w:webHidden/>
              </w:rPr>
              <w:fldChar w:fldCharType="separate"/>
            </w:r>
            <w:r>
              <w:rPr>
                <w:noProof/>
                <w:webHidden/>
              </w:rPr>
              <w:t>18</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92" w:history="1">
            <w:r w:rsidRPr="005C3015">
              <w:rPr>
                <w:rStyle w:val="Hyperlink"/>
              </w:rPr>
              <w:t>Distribution of Disadvantage in the ACT</w:t>
            </w:r>
            <w:r>
              <w:rPr>
                <w:webHidden/>
              </w:rPr>
              <w:tab/>
            </w:r>
            <w:r>
              <w:rPr>
                <w:webHidden/>
              </w:rPr>
              <w:fldChar w:fldCharType="begin"/>
            </w:r>
            <w:r>
              <w:rPr>
                <w:webHidden/>
              </w:rPr>
              <w:instrText xml:space="preserve"> PAGEREF _Toc358033192 \h </w:instrText>
            </w:r>
            <w:r>
              <w:rPr>
                <w:webHidden/>
              </w:rPr>
            </w:r>
            <w:r>
              <w:rPr>
                <w:webHidden/>
              </w:rPr>
              <w:fldChar w:fldCharType="separate"/>
            </w:r>
            <w:r>
              <w:rPr>
                <w:webHidden/>
              </w:rPr>
              <w:t>18</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193" w:history="1">
            <w:r w:rsidRPr="005C3015">
              <w:rPr>
                <w:rStyle w:val="Hyperlink"/>
              </w:rPr>
              <w:t>Community Profiles:  Hidden Disadvantage in the ACT</w:t>
            </w:r>
            <w:r>
              <w:rPr>
                <w:webHidden/>
              </w:rPr>
              <w:tab/>
            </w:r>
            <w:r>
              <w:rPr>
                <w:webHidden/>
              </w:rPr>
              <w:fldChar w:fldCharType="begin"/>
            </w:r>
            <w:r>
              <w:rPr>
                <w:webHidden/>
              </w:rPr>
              <w:instrText xml:space="preserve"> PAGEREF _Toc358033193 \h </w:instrText>
            </w:r>
            <w:r>
              <w:rPr>
                <w:webHidden/>
              </w:rPr>
            </w:r>
            <w:r>
              <w:rPr>
                <w:webHidden/>
              </w:rPr>
              <w:fldChar w:fldCharType="separate"/>
            </w:r>
            <w:r>
              <w:rPr>
                <w:webHidden/>
              </w:rPr>
              <w:t>19</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194" w:history="1">
            <w:r w:rsidRPr="005C3015">
              <w:rPr>
                <w:rStyle w:val="Hyperlink"/>
                <w:noProof/>
              </w:rPr>
              <w:t>Overview</w:t>
            </w:r>
            <w:r>
              <w:rPr>
                <w:noProof/>
                <w:webHidden/>
              </w:rPr>
              <w:tab/>
            </w:r>
            <w:r>
              <w:rPr>
                <w:noProof/>
                <w:webHidden/>
              </w:rPr>
              <w:fldChar w:fldCharType="begin"/>
            </w:r>
            <w:r>
              <w:rPr>
                <w:noProof/>
                <w:webHidden/>
              </w:rPr>
              <w:instrText xml:space="preserve"> PAGEREF _Toc358033194 \h </w:instrText>
            </w:r>
            <w:r>
              <w:rPr>
                <w:noProof/>
                <w:webHidden/>
              </w:rPr>
            </w:r>
            <w:r>
              <w:rPr>
                <w:noProof/>
                <w:webHidden/>
              </w:rPr>
              <w:fldChar w:fldCharType="separate"/>
            </w:r>
            <w:r>
              <w:rPr>
                <w:noProof/>
                <w:webHidden/>
              </w:rPr>
              <w:t>19</w:t>
            </w:r>
            <w:r>
              <w:rPr>
                <w:noProof/>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195" w:history="1">
            <w:r w:rsidRPr="005C3015">
              <w:rPr>
                <w:rStyle w:val="Hyperlink"/>
                <w:noProof/>
              </w:rPr>
              <w:t>Comparing Neighbours: Measuring Disadvantage at the Suburb vs. Collection District Level</w:t>
            </w:r>
            <w:r>
              <w:rPr>
                <w:noProof/>
                <w:webHidden/>
              </w:rPr>
              <w:tab/>
            </w:r>
            <w:r>
              <w:rPr>
                <w:noProof/>
                <w:webHidden/>
              </w:rPr>
              <w:fldChar w:fldCharType="begin"/>
            </w:r>
            <w:r>
              <w:rPr>
                <w:noProof/>
                <w:webHidden/>
              </w:rPr>
              <w:instrText xml:space="preserve"> PAGEREF _Toc358033195 \h </w:instrText>
            </w:r>
            <w:r>
              <w:rPr>
                <w:noProof/>
                <w:webHidden/>
              </w:rPr>
            </w:r>
            <w:r>
              <w:rPr>
                <w:noProof/>
                <w:webHidden/>
              </w:rPr>
              <w:fldChar w:fldCharType="separate"/>
            </w:r>
            <w:r>
              <w:rPr>
                <w:noProof/>
                <w:webHidden/>
              </w:rPr>
              <w:t>21</w:t>
            </w:r>
            <w:r>
              <w:rPr>
                <w:noProof/>
                <w:webHidden/>
              </w:rPr>
              <w:fldChar w:fldCharType="end"/>
            </w:r>
          </w:hyperlink>
        </w:p>
        <w:p w:rsidR="008230AD" w:rsidRDefault="008230AD">
          <w:pPr>
            <w:pStyle w:val="TOC4"/>
            <w:rPr>
              <w:rFonts w:eastAsiaTheme="minorEastAsia" w:cstheme="minorBidi"/>
              <w:color w:val="auto"/>
              <w:szCs w:val="22"/>
              <w:lang w:val="en-AU" w:eastAsia="en-AU"/>
            </w:rPr>
          </w:pPr>
          <w:hyperlink w:anchor="_Toc358033196" w:history="1">
            <w:r w:rsidRPr="005C3015">
              <w:rPr>
                <w:rStyle w:val="Hyperlink"/>
              </w:rPr>
              <w:t>Ainslie vs. Braddon</w:t>
            </w:r>
            <w:r>
              <w:rPr>
                <w:webHidden/>
              </w:rPr>
              <w:tab/>
            </w:r>
            <w:r>
              <w:rPr>
                <w:webHidden/>
              </w:rPr>
              <w:fldChar w:fldCharType="begin"/>
            </w:r>
            <w:r>
              <w:rPr>
                <w:webHidden/>
              </w:rPr>
              <w:instrText xml:space="preserve"> PAGEREF _Toc358033196 \h </w:instrText>
            </w:r>
            <w:r>
              <w:rPr>
                <w:webHidden/>
              </w:rPr>
            </w:r>
            <w:r>
              <w:rPr>
                <w:webHidden/>
              </w:rPr>
              <w:fldChar w:fldCharType="separate"/>
            </w:r>
            <w:r>
              <w:rPr>
                <w:webHidden/>
              </w:rPr>
              <w:t>21</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197" w:history="1">
            <w:r w:rsidRPr="005C3015">
              <w:rPr>
                <w:rStyle w:val="Hyperlink"/>
              </w:rPr>
              <w:t>Rivett vs. Chapman</w:t>
            </w:r>
            <w:r>
              <w:rPr>
                <w:webHidden/>
              </w:rPr>
              <w:tab/>
            </w:r>
            <w:r>
              <w:rPr>
                <w:webHidden/>
              </w:rPr>
              <w:fldChar w:fldCharType="begin"/>
            </w:r>
            <w:r>
              <w:rPr>
                <w:webHidden/>
              </w:rPr>
              <w:instrText xml:space="preserve"> PAGEREF _Toc358033197 \h </w:instrText>
            </w:r>
            <w:r>
              <w:rPr>
                <w:webHidden/>
              </w:rPr>
            </w:r>
            <w:r>
              <w:rPr>
                <w:webHidden/>
              </w:rPr>
              <w:fldChar w:fldCharType="separate"/>
            </w:r>
            <w:r>
              <w:rPr>
                <w:webHidden/>
              </w:rPr>
              <w:t>23</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198" w:history="1">
            <w:r w:rsidRPr="005C3015">
              <w:rPr>
                <w:rStyle w:val="Hyperlink"/>
                <w:noProof/>
              </w:rPr>
              <w:t>The Odd One Masked: Pockets of High Disadvantage within Suburbs</w:t>
            </w:r>
            <w:r>
              <w:rPr>
                <w:noProof/>
                <w:webHidden/>
              </w:rPr>
              <w:tab/>
            </w:r>
            <w:r>
              <w:rPr>
                <w:noProof/>
                <w:webHidden/>
              </w:rPr>
              <w:fldChar w:fldCharType="begin"/>
            </w:r>
            <w:r>
              <w:rPr>
                <w:noProof/>
                <w:webHidden/>
              </w:rPr>
              <w:instrText xml:space="preserve"> PAGEREF _Toc358033198 \h </w:instrText>
            </w:r>
            <w:r>
              <w:rPr>
                <w:noProof/>
                <w:webHidden/>
              </w:rPr>
            </w:r>
            <w:r>
              <w:rPr>
                <w:noProof/>
                <w:webHidden/>
              </w:rPr>
              <w:fldChar w:fldCharType="separate"/>
            </w:r>
            <w:r>
              <w:rPr>
                <w:noProof/>
                <w:webHidden/>
              </w:rPr>
              <w:t>24</w:t>
            </w:r>
            <w:r>
              <w:rPr>
                <w:noProof/>
                <w:webHidden/>
              </w:rPr>
              <w:fldChar w:fldCharType="end"/>
            </w:r>
          </w:hyperlink>
        </w:p>
        <w:p w:rsidR="008230AD" w:rsidRDefault="008230AD">
          <w:pPr>
            <w:pStyle w:val="TOC4"/>
            <w:rPr>
              <w:rFonts w:eastAsiaTheme="minorEastAsia" w:cstheme="minorBidi"/>
              <w:color w:val="auto"/>
              <w:szCs w:val="22"/>
              <w:lang w:val="en-AU" w:eastAsia="en-AU"/>
            </w:rPr>
          </w:pPr>
          <w:hyperlink w:anchor="_Toc358033199" w:history="1">
            <w:r w:rsidRPr="005C3015">
              <w:rPr>
                <w:rStyle w:val="Hyperlink"/>
              </w:rPr>
              <w:t>Kingston</w:t>
            </w:r>
            <w:r>
              <w:rPr>
                <w:webHidden/>
              </w:rPr>
              <w:tab/>
            </w:r>
            <w:r>
              <w:rPr>
                <w:webHidden/>
              </w:rPr>
              <w:fldChar w:fldCharType="begin"/>
            </w:r>
            <w:r>
              <w:rPr>
                <w:webHidden/>
              </w:rPr>
              <w:instrText xml:space="preserve"> PAGEREF _Toc358033199 \h </w:instrText>
            </w:r>
            <w:r>
              <w:rPr>
                <w:webHidden/>
              </w:rPr>
            </w:r>
            <w:r>
              <w:rPr>
                <w:webHidden/>
              </w:rPr>
              <w:fldChar w:fldCharType="separate"/>
            </w:r>
            <w:r>
              <w:rPr>
                <w:webHidden/>
              </w:rPr>
              <w:t>25</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200" w:history="1">
            <w:r w:rsidRPr="005C3015">
              <w:rPr>
                <w:rStyle w:val="Hyperlink"/>
              </w:rPr>
              <w:t>Torrens</w:t>
            </w:r>
            <w:r>
              <w:rPr>
                <w:webHidden/>
              </w:rPr>
              <w:tab/>
            </w:r>
            <w:r>
              <w:rPr>
                <w:webHidden/>
              </w:rPr>
              <w:fldChar w:fldCharType="begin"/>
            </w:r>
            <w:r>
              <w:rPr>
                <w:webHidden/>
              </w:rPr>
              <w:instrText xml:space="preserve"> PAGEREF _Toc358033200 \h </w:instrText>
            </w:r>
            <w:r>
              <w:rPr>
                <w:webHidden/>
              </w:rPr>
            </w:r>
            <w:r>
              <w:rPr>
                <w:webHidden/>
              </w:rPr>
              <w:fldChar w:fldCharType="separate"/>
            </w:r>
            <w:r>
              <w:rPr>
                <w:webHidden/>
              </w:rPr>
              <w:t>25</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201" w:history="1">
            <w:r w:rsidRPr="005C3015">
              <w:rPr>
                <w:rStyle w:val="Hyperlink"/>
                <w:noProof/>
              </w:rPr>
              <w:t>The Hidden Gradient: Socio-Economic Diversity within Areas</w:t>
            </w:r>
            <w:r>
              <w:rPr>
                <w:noProof/>
                <w:webHidden/>
              </w:rPr>
              <w:tab/>
            </w:r>
            <w:r>
              <w:rPr>
                <w:noProof/>
                <w:webHidden/>
              </w:rPr>
              <w:fldChar w:fldCharType="begin"/>
            </w:r>
            <w:r>
              <w:rPr>
                <w:noProof/>
                <w:webHidden/>
              </w:rPr>
              <w:instrText xml:space="preserve"> PAGEREF _Toc358033201 \h </w:instrText>
            </w:r>
            <w:r>
              <w:rPr>
                <w:noProof/>
                <w:webHidden/>
              </w:rPr>
            </w:r>
            <w:r>
              <w:rPr>
                <w:noProof/>
                <w:webHidden/>
              </w:rPr>
              <w:fldChar w:fldCharType="separate"/>
            </w:r>
            <w:r>
              <w:rPr>
                <w:noProof/>
                <w:webHidden/>
              </w:rPr>
              <w:t>26</w:t>
            </w:r>
            <w:r>
              <w:rPr>
                <w:noProof/>
                <w:webHidden/>
              </w:rPr>
              <w:fldChar w:fldCharType="end"/>
            </w:r>
          </w:hyperlink>
        </w:p>
        <w:p w:rsidR="008230AD" w:rsidRDefault="008230AD">
          <w:pPr>
            <w:pStyle w:val="TOC4"/>
            <w:rPr>
              <w:rFonts w:eastAsiaTheme="minorEastAsia" w:cstheme="minorBidi"/>
              <w:color w:val="auto"/>
              <w:szCs w:val="22"/>
              <w:lang w:val="en-AU" w:eastAsia="en-AU"/>
            </w:rPr>
          </w:pPr>
          <w:hyperlink w:anchor="_Toc358033202" w:history="1">
            <w:r w:rsidRPr="005C3015">
              <w:rPr>
                <w:rStyle w:val="Hyperlink"/>
              </w:rPr>
              <w:t>Red Hill</w:t>
            </w:r>
            <w:r>
              <w:rPr>
                <w:webHidden/>
              </w:rPr>
              <w:tab/>
            </w:r>
            <w:r>
              <w:rPr>
                <w:webHidden/>
              </w:rPr>
              <w:fldChar w:fldCharType="begin"/>
            </w:r>
            <w:r>
              <w:rPr>
                <w:webHidden/>
              </w:rPr>
              <w:instrText xml:space="preserve"> PAGEREF _Toc358033202 \h </w:instrText>
            </w:r>
            <w:r>
              <w:rPr>
                <w:webHidden/>
              </w:rPr>
            </w:r>
            <w:r>
              <w:rPr>
                <w:webHidden/>
              </w:rPr>
              <w:fldChar w:fldCharType="separate"/>
            </w:r>
            <w:r>
              <w:rPr>
                <w:webHidden/>
              </w:rPr>
              <w:t>27</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203" w:history="1">
            <w:r w:rsidRPr="005C3015">
              <w:rPr>
                <w:rStyle w:val="Hyperlink"/>
              </w:rPr>
              <w:t>Florey</w:t>
            </w:r>
            <w:r>
              <w:rPr>
                <w:webHidden/>
              </w:rPr>
              <w:tab/>
            </w:r>
            <w:r>
              <w:rPr>
                <w:webHidden/>
              </w:rPr>
              <w:fldChar w:fldCharType="begin"/>
            </w:r>
            <w:r>
              <w:rPr>
                <w:webHidden/>
              </w:rPr>
              <w:instrText xml:space="preserve"> PAGEREF _Toc358033203 \h </w:instrText>
            </w:r>
            <w:r>
              <w:rPr>
                <w:webHidden/>
              </w:rPr>
            </w:r>
            <w:r>
              <w:rPr>
                <w:webHidden/>
              </w:rPr>
              <w:fldChar w:fldCharType="separate"/>
            </w:r>
            <w:r>
              <w:rPr>
                <w:webHidden/>
              </w:rPr>
              <w:t>28</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204" w:history="1">
            <w:r w:rsidRPr="005C3015">
              <w:rPr>
                <w:rStyle w:val="Hyperlink"/>
              </w:rPr>
              <w:t>Reid</w:t>
            </w:r>
            <w:r>
              <w:rPr>
                <w:webHidden/>
              </w:rPr>
              <w:tab/>
            </w:r>
            <w:r>
              <w:rPr>
                <w:webHidden/>
              </w:rPr>
              <w:fldChar w:fldCharType="begin"/>
            </w:r>
            <w:r>
              <w:rPr>
                <w:webHidden/>
              </w:rPr>
              <w:instrText xml:space="preserve"> PAGEREF _Toc358033204 \h </w:instrText>
            </w:r>
            <w:r>
              <w:rPr>
                <w:webHidden/>
              </w:rPr>
            </w:r>
            <w:r>
              <w:rPr>
                <w:webHidden/>
              </w:rPr>
              <w:fldChar w:fldCharType="separate"/>
            </w:r>
            <w:r>
              <w:rPr>
                <w:webHidden/>
              </w:rPr>
              <w:t>29</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205" w:history="1">
            <w:r w:rsidRPr="005C3015">
              <w:rPr>
                <w:rStyle w:val="Hyperlink"/>
                <w:noProof/>
              </w:rPr>
              <w:t>The Hidden Majority: Hidden Disadvantaged in Large Populations</w:t>
            </w:r>
            <w:r>
              <w:rPr>
                <w:noProof/>
                <w:webHidden/>
              </w:rPr>
              <w:tab/>
            </w:r>
            <w:r>
              <w:rPr>
                <w:noProof/>
                <w:webHidden/>
              </w:rPr>
              <w:fldChar w:fldCharType="begin"/>
            </w:r>
            <w:r>
              <w:rPr>
                <w:noProof/>
                <w:webHidden/>
              </w:rPr>
              <w:instrText xml:space="preserve"> PAGEREF _Toc358033205 \h </w:instrText>
            </w:r>
            <w:r>
              <w:rPr>
                <w:noProof/>
                <w:webHidden/>
              </w:rPr>
            </w:r>
            <w:r>
              <w:rPr>
                <w:noProof/>
                <w:webHidden/>
              </w:rPr>
              <w:fldChar w:fldCharType="separate"/>
            </w:r>
            <w:r>
              <w:rPr>
                <w:noProof/>
                <w:webHidden/>
              </w:rPr>
              <w:t>30</w:t>
            </w:r>
            <w:r>
              <w:rPr>
                <w:noProof/>
                <w:webHidden/>
              </w:rPr>
              <w:fldChar w:fldCharType="end"/>
            </w:r>
          </w:hyperlink>
        </w:p>
        <w:p w:rsidR="008230AD" w:rsidRDefault="008230AD">
          <w:pPr>
            <w:pStyle w:val="TOC4"/>
            <w:rPr>
              <w:rFonts w:eastAsiaTheme="minorEastAsia" w:cstheme="minorBidi"/>
              <w:color w:val="auto"/>
              <w:szCs w:val="22"/>
              <w:lang w:val="en-AU" w:eastAsia="en-AU"/>
            </w:rPr>
          </w:pPr>
          <w:hyperlink w:anchor="_Toc358033206" w:history="1">
            <w:r w:rsidRPr="005C3015">
              <w:rPr>
                <w:rStyle w:val="Hyperlink"/>
              </w:rPr>
              <w:t>Kaleen</w:t>
            </w:r>
            <w:r>
              <w:rPr>
                <w:webHidden/>
              </w:rPr>
              <w:tab/>
            </w:r>
            <w:r>
              <w:rPr>
                <w:webHidden/>
              </w:rPr>
              <w:fldChar w:fldCharType="begin"/>
            </w:r>
            <w:r>
              <w:rPr>
                <w:webHidden/>
              </w:rPr>
              <w:instrText xml:space="preserve"> PAGEREF _Toc358033206 \h </w:instrText>
            </w:r>
            <w:r>
              <w:rPr>
                <w:webHidden/>
              </w:rPr>
            </w:r>
            <w:r>
              <w:rPr>
                <w:webHidden/>
              </w:rPr>
              <w:fldChar w:fldCharType="separate"/>
            </w:r>
            <w:r>
              <w:rPr>
                <w:webHidden/>
              </w:rPr>
              <w:t>30</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207" w:history="1">
            <w:r w:rsidRPr="005C3015">
              <w:rPr>
                <w:rStyle w:val="Hyperlink"/>
              </w:rPr>
              <w:t>Narrabundah</w:t>
            </w:r>
            <w:r>
              <w:rPr>
                <w:webHidden/>
              </w:rPr>
              <w:tab/>
            </w:r>
            <w:r>
              <w:rPr>
                <w:webHidden/>
              </w:rPr>
              <w:fldChar w:fldCharType="begin"/>
            </w:r>
            <w:r>
              <w:rPr>
                <w:webHidden/>
              </w:rPr>
              <w:instrText xml:space="preserve"> PAGEREF _Toc358033207 \h </w:instrText>
            </w:r>
            <w:r>
              <w:rPr>
                <w:webHidden/>
              </w:rPr>
            </w:r>
            <w:r>
              <w:rPr>
                <w:webHidden/>
              </w:rPr>
              <w:fldChar w:fldCharType="separate"/>
            </w:r>
            <w:r>
              <w:rPr>
                <w:webHidden/>
              </w:rPr>
              <w:t>30</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208" w:history="1">
            <w:r w:rsidRPr="005C3015">
              <w:rPr>
                <w:rStyle w:val="Hyperlink"/>
              </w:rPr>
              <w:t>Ngunnawal</w:t>
            </w:r>
            <w:r>
              <w:rPr>
                <w:webHidden/>
              </w:rPr>
              <w:tab/>
            </w:r>
            <w:r>
              <w:rPr>
                <w:webHidden/>
              </w:rPr>
              <w:fldChar w:fldCharType="begin"/>
            </w:r>
            <w:r>
              <w:rPr>
                <w:webHidden/>
              </w:rPr>
              <w:instrText xml:space="preserve"> PAGEREF _Toc358033208 \h </w:instrText>
            </w:r>
            <w:r>
              <w:rPr>
                <w:webHidden/>
              </w:rPr>
            </w:r>
            <w:r>
              <w:rPr>
                <w:webHidden/>
              </w:rPr>
              <w:fldChar w:fldCharType="separate"/>
            </w:r>
            <w:r>
              <w:rPr>
                <w:webHidden/>
              </w:rPr>
              <w:t>31</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209" w:history="1">
            <w:r w:rsidRPr="005C3015">
              <w:rPr>
                <w:rStyle w:val="Hyperlink"/>
                <w:noProof/>
              </w:rPr>
              <w:t>Low Visibility, High Risk: Small Numbers of Hidden Disadvantaged</w:t>
            </w:r>
            <w:r>
              <w:rPr>
                <w:noProof/>
                <w:webHidden/>
              </w:rPr>
              <w:tab/>
            </w:r>
            <w:r>
              <w:rPr>
                <w:noProof/>
                <w:webHidden/>
              </w:rPr>
              <w:fldChar w:fldCharType="begin"/>
            </w:r>
            <w:r>
              <w:rPr>
                <w:noProof/>
                <w:webHidden/>
              </w:rPr>
              <w:instrText xml:space="preserve"> PAGEREF _Toc358033209 \h </w:instrText>
            </w:r>
            <w:r>
              <w:rPr>
                <w:noProof/>
                <w:webHidden/>
              </w:rPr>
            </w:r>
            <w:r>
              <w:rPr>
                <w:noProof/>
                <w:webHidden/>
              </w:rPr>
              <w:fldChar w:fldCharType="separate"/>
            </w:r>
            <w:r>
              <w:rPr>
                <w:noProof/>
                <w:webHidden/>
              </w:rPr>
              <w:t>32</w:t>
            </w:r>
            <w:r>
              <w:rPr>
                <w:noProof/>
                <w:webHidden/>
              </w:rPr>
              <w:fldChar w:fldCharType="end"/>
            </w:r>
          </w:hyperlink>
        </w:p>
        <w:p w:rsidR="008230AD" w:rsidRDefault="008230AD">
          <w:pPr>
            <w:pStyle w:val="TOC4"/>
            <w:rPr>
              <w:rFonts w:eastAsiaTheme="minorEastAsia" w:cstheme="minorBidi"/>
              <w:color w:val="auto"/>
              <w:szCs w:val="22"/>
              <w:lang w:val="en-AU" w:eastAsia="en-AU"/>
            </w:rPr>
          </w:pPr>
          <w:hyperlink w:anchor="_Toc358033210" w:history="1">
            <w:r w:rsidRPr="005C3015">
              <w:rPr>
                <w:rStyle w:val="Hyperlink"/>
              </w:rPr>
              <w:t>City</w:t>
            </w:r>
            <w:r>
              <w:rPr>
                <w:webHidden/>
              </w:rPr>
              <w:tab/>
            </w:r>
            <w:r>
              <w:rPr>
                <w:webHidden/>
              </w:rPr>
              <w:fldChar w:fldCharType="begin"/>
            </w:r>
            <w:r>
              <w:rPr>
                <w:webHidden/>
              </w:rPr>
              <w:instrText xml:space="preserve"> PAGEREF _Toc358033210 \h </w:instrText>
            </w:r>
            <w:r>
              <w:rPr>
                <w:webHidden/>
              </w:rPr>
            </w:r>
            <w:r>
              <w:rPr>
                <w:webHidden/>
              </w:rPr>
              <w:fldChar w:fldCharType="separate"/>
            </w:r>
            <w:r>
              <w:rPr>
                <w:webHidden/>
              </w:rPr>
              <w:t>32</w:t>
            </w:r>
            <w:r>
              <w:rPr>
                <w:webHidden/>
              </w:rPr>
              <w:fldChar w:fldCharType="end"/>
            </w:r>
          </w:hyperlink>
        </w:p>
        <w:p w:rsidR="008230AD" w:rsidRDefault="008230AD">
          <w:pPr>
            <w:pStyle w:val="TOC3"/>
            <w:tabs>
              <w:tab w:val="right" w:pos="9350"/>
            </w:tabs>
            <w:rPr>
              <w:rFonts w:eastAsiaTheme="minorEastAsia" w:cstheme="minorBidi"/>
              <w:noProof/>
              <w:szCs w:val="22"/>
              <w:lang w:val="en-AU" w:eastAsia="en-AU"/>
            </w:rPr>
          </w:pPr>
          <w:hyperlink w:anchor="_Toc358033211" w:history="1">
            <w:r w:rsidRPr="005C3015">
              <w:rPr>
                <w:rStyle w:val="Hyperlink"/>
                <w:noProof/>
              </w:rPr>
              <w:t>The Group 2 Phenomenon: Tuggeranong</w:t>
            </w:r>
            <w:r>
              <w:rPr>
                <w:noProof/>
                <w:webHidden/>
              </w:rPr>
              <w:tab/>
            </w:r>
            <w:r>
              <w:rPr>
                <w:noProof/>
                <w:webHidden/>
              </w:rPr>
              <w:fldChar w:fldCharType="begin"/>
            </w:r>
            <w:r>
              <w:rPr>
                <w:noProof/>
                <w:webHidden/>
              </w:rPr>
              <w:instrText xml:space="preserve"> PAGEREF _Toc358033211 \h </w:instrText>
            </w:r>
            <w:r>
              <w:rPr>
                <w:noProof/>
                <w:webHidden/>
              </w:rPr>
            </w:r>
            <w:r>
              <w:rPr>
                <w:noProof/>
                <w:webHidden/>
              </w:rPr>
              <w:fldChar w:fldCharType="separate"/>
            </w:r>
            <w:r>
              <w:rPr>
                <w:noProof/>
                <w:webHidden/>
              </w:rPr>
              <w:t>32</w:t>
            </w:r>
            <w:r>
              <w:rPr>
                <w:noProof/>
                <w:webHidden/>
              </w:rPr>
              <w:fldChar w:fldCharType="end"/>
            </w:r>
          </w:hyperlink>
        </w:p>
        <w:p w:rsidR="008230AD" w:rsidRDefault="008230AD">
          <w:pPr>
            <w:pStyle w:val="TOC4"/>
            <w:rPr>
              <w:rFonts w:eastAsiaTheme="minorEastAsia" w:cstheme="minorBidi"/>
              <w:color w:val="auto"/>
              <w:szCs w:val="22"/>
              <w:lang w:val="en-AU" w:eastAsia="en-AU"/>
            </w:rPr>
          </w:pPr>
          <w:hyperlink w:anchor="_Toc358033212" w:history="1">
            <w:r w:rsidRPr="005C3015">
              <w:rPr>
                <w:rStyle w:val="Hyperlink"/>
              </w:rPr>
              <w:t>Isabella Plains</w:t>
            </w:r>
            <w:r>
              <w:rPr>
                <w:webHidden/>
              </w:rPr>
              <w:tab/>
            </w:r>
            <w:r>
              <w:rPr>
                <w:webHidden/>
              </w:rPr>
              <w:fldChar w:fldCharType="begin"/>
            </w:r>
            <w:r>
              <w:rPr>
                <w:webHidden/>
              </w:rPr>
              <w:instrText xml:space="preserve"> PAGEREF _Toc358033212 \h </w:instrText>
            </w:r>
            <w:r>
              <w:rPr>
                <w:webHidden/>
              </w:rPr>
            </w:r>
            <w:r>
              <w:rPr>
                <w:webHidden/>
              </w:rPr>
              <w:fldChar w:fldCharType="separate"/>
            </w:r>
            <w:r>
              <w:rPr>
                <w:webHidden/>
              </w:rPr>
              <w:t>33</w:t>
            </w:r>
            <w:r>
              <w:rPr>
                <w:webHidden/>
              </w:rPr>
              <w:fldChar w:fldCharType="end"/>
            </w:r>
          </w:hyperlink>
        </w:p>
        <w:p w:rsidR="008230AD" w:rsidRDefault="008230AD">
          <w:pPr>
            <w:pStyle w:val="TOC4"/>
            <w:rPr>
              <w:rFonts w:eastAsiaTheme="minorEastAsia" w:cstheme="minorBidi"/>
              <w:color w:val="auto"/>
              <w:szCs w:val="22"/>
              <w:lang w:val="en-AU" w:eastAsia="en-AU"/>
            </w:rPr>
          </w:pPr>
          <w:hyperlink w:anchor="_Toc358033213" w:history="1">
            <w:r w:rsidRPr="005C3015">
              <w:rPr>
                <w:rStyle w:val="Hyperlink"/>
              </w:rPr>
              <w:t>Kambah</w:t>
            </w:r>
            <w:r>
              <w:rPr>
                <w:webHidden/>
              </w:rPr>
              <w:tab/>
            </w:r>
            <w:r>
              <w:rPr>
                <w:webHidden/>
              </w:rPr>
              <w:fldChar w:fldCharType="begin"/>
            </w:r>
            <w:r>
              <w:rPr>
                <w:webHidden/>
              </w:rPr>
              <w:instrText xml:space="preserve"> PAGEREF _Toc358033213 \h </w:instrText>
            </w:r>
            <w:r>
              <w:rPr>
                <w:webHidden/>
              </w:rPr>
            </w:r>
            <w:r>
              <w:rPr>
                <w:webHidden/>
              </w:rPr>
              <w:fldChar w:fldCharType="separate"/>
            </w:r>
            <w:r>
              <w:rPr>
                <w:webHidden/>
              </w:rPr>
              <w:t>34</w:t>
            </w:r>
            <w:r>
              <w:rPr>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214" w:history="1">
            <w:r w:rsidRPr="005C3015">
              <w:rPr>
                <w:rStyle w:val="Hyperlink"/>
                <w:noProof/>
              </w:rPr>
              <w:t>Section 3: Discussion</w:t>
            </w:r>
            <w:r>
              <w:rPr>
                <w:noProof/>
                <w:webHidden/>
              </w:rPr>
              <w:tab/>
            </w:r>
            <w:r>
              <w:rPr>
                <w:noProof/>
                <w:webHidden/>
              </w:rPr>
              <w:fldChar w:fldCharType="begin"/>
            </w:r>
            <w:r>
              <w:rPr>
                <w:noProof/>
                <w:webHidden/>
              </w:rPr>
              <w:instrText xml:space="preserve"> PAGEREF _Toc358033214 \h </w:instrText>
            </w:r>
            <w:r>
              <w:rPr>
                <w:noProof/>
                <w:webHidden/>
              </w:rPr>
            </w:r>
            <w:r>
              <w:rPr>
                <w:noProof/>
                <w:webHidden/>
              </w:rPr>
              <w:fldChar w:fldCharType="separate"/>
            </w:r>
            <w:r>
              <w:rPr>
                <w:noProof/>
                <w:webHidden/>
              </w:rPr>
              <w:t>35</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215" w:history="1">
            <w:r w:rsidRPr="005C3015">
              <w:rPr>
                <w:rStyle w:val="Hyperlink"/>
              </w:rPr>
              <w:t>Key Findings</w:t>
            </w:r>
            <w:r>
              <w:rPr>
                <w:webHidden/>
              </w:rPr>
              <w:tab/>
            </w:r>
            <w:r>
              <w:rPr>
                <w:webHidden/>
              </w:rPr>
              <w:fldChar w:fldCharType="begin"/>
            </w:r>
            <w:r>
              <w:rPr>
                <w:webHidden/>
              </w:rPr>
              <w:instrText xml:space="preserve"> PAGEREF _Toc358033215 \h </w:instrText>
            </w:r>
            <w:r>
              <w:rPr>
                <w:webHidden/>
              </w:rPr>
            </w:r>
            <w:r>
              <w:rPr>
                <w:webHidden/>
              </w:rPr>
              <w:fldChar w:fldCharType="separate"/>
            </w:r>
            <w:r>
              <w:rPr>
                <w:webHidden/>
              </w:rPr>
              <w:t>35</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216" w:history="1">
            <w:r w:rsidRPr="005C3015">
              <w:rPr>
                <w:rStyle w:val="Hyperlink"/>
              </w:rPr>
              <w:t>Limitations</w:t>
            </w:r>
            <w:r>
              <w:rPr>
                <w:webHidden/>
              </w:rPr>
              <w:tab/>
            </w:r>
            <w:r>
              <w:rPr>
                <w:webHidden/>
              </w:rPr>
              <w:fldChar w:fldCharType="begin"/>
            </w:r>
            <w:r>
              <w:rPr>
                <w:webHidden/>
              </w:rPr>
              <w:instrText xml:space="preserve"> PAGEREF _Toc358033216 \h </w:instrText>
            </w:r>
            <w:r>
              <w:rPr>
                <w:webHidden/>
              </w:rPr>
            </w:r>
            <w:r>
              <w:rPr>
                <w:webHidden/>
              </w:rPr>
              <w:fldChar w:fldCharType="separate"/>
            </w:r>
            <w:r>
              <w:rPr>
                <w:webHidden/>
              </w:rPr>
              <w:t>36</w:t>
            </w:r>
            <w:r>
              <w:rPr>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217" w:history="1">
            <w:r w:rsidRPr="005C3015">
              <w:rPr>
                <w:rStyle w:val="Hyperlink"/>
              </w:rPr>
              <w:t>Next Steps</w:t>
            </w:r>
            <w:r>
              <w:rPr>
                <w:webHidden/>
              </w:rPr>
              <w:tab/>
            </w:r>
            <w:r>
              <w:rPr>
                <w:webHidden/>
              </w:rPr>
              <w:fldChar w:fldCharType="begin"/>
            </w:r>
            <w:r>
              <w:rPr>
                <w:webHidden/>
              </w:rPr>
              <w:instrText xml:space="preserve"> PAGEREF _Toc358033217 \h </w:instrText>
            </w:r>
            <w:r>
              <w:rPr>
                <w:webHidden/>
              </w:rPr>
            </w:r>
            <w:r>
              <w:rPr>
                <w:webHidden/>
              </w:rPr>
              <w:fldChar w:fldCharType="separate"/>
            </w:r>
            <w:r>
              <w:rPr>
                <w:webHidden/>
              </w:rPr>
              <w:t>37</w:t>
            </w:r>
            <w:r>
              <w:rPr>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218" w:history="1">
            <w:r w:rsidRPr="005C3015">
              <w:rPr>
                <w:rStyle w:val="Hyperlink"/>
                <w:noProof/>
              </w:rPr>
              <w:t>ReferenceS</w:t>
            </w:r>
            <w:r>
              <w:rPr>
                <w:noProof/>
                <w:webHidden/>
              </w:rPr>
              <w:tab/>
            </w:r>
            <w:r>
              <w:rPr>
                <w:noProof/>
                <w:webHidden/>
              </w:rPr>
              <w:fldChar w:fldCharType="begin"/>
            </w:r>
            <w:r>
              <w:rPr>
                <w:noProof/>
                <w:webHidden/>
              </w:rPr>
              <w:instrText xml:space="preserve"> PAGEREF _Toc358033218 \h </w:instrText>
            </w:r>
            <w:r>
              <w:rPr>
                <w:noProof/>
                <w:webHidden/>
              </w:rPr>
            </w:r>
            <w:r>
              <w:rPr>
                <w:noProof/>
                <w:webHidden/>
              </w:rPr>
              <w:fldChar w:fldCharType="separate"/>
            </w:r>
            <w:r>
              <w:rPr>
                <w:noProof/>
                <w:webHidden/>
              </w:rPr>
              <w:t>38</w:t>
            </w:r>
            <w:r>
              <w:rPr>
                <w:noProof/>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219" w:history="1">
            <w:r w:rsidRPr="005C3015">
              <w:rPr>
                <w:rStyle w:val="Hyperlink"/>
                <w:noProof/>
              </w:rPr>
              <w:t>APPENDIX A – SEIFA and SEIFI Methodology</w:t>
            </w:r>
            <w:r>
              <w:rPr>
                <w:noProof/>
                <w:webHidden/>
              </w:rPr>
              <w:tab/>
            </w:r>
            <w:r>
              <w:rPr>
                <w:noProof/>
                <w:webHidden/>
              </w:rPr>
              <w:fldChar w:fldCharType="begin"/>
            </w:r>
            <w:r>
              <w:rPr>
                <w:noProof/>
                <w:webHidden/>
              </w:rPr>
              <w:instrText xml:space="preserve"> PAGEREF _Toc358033219 \h </w:instrText>
            </w:r>
            <w:r>
              <w:rPr>
                <w:noProof/>
                <w:webHidden/>
              </w:rPr>
            </w:r>
            <w:r>
              <w:rPr>
                <w:noProof/>
                <w:webHidden/>
              </w:rPr>
              <w:fldChar w:fldCharType="separate"/>
            </w:r>
            <w:r>
              <w:rPr>
                <w:noProof/>
                <w:webHidden/>
              </w:rPr>
              <w:t>39</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220" w:history="1">
            <w:r w:rsidRPr="005C3015">
              <w:rPr>
                <w:rStyle w:val="Hyperlink"/>
              </w:rPr>
              <w:t>Principal Components Analysis and Index Construction</w:t>
            </w:r>
            <w:r>
              <w:rPr>
                <w:webHidden/>
              </w:rPr>
              <w:tab/>
            </w:r>
            <w:r>
              <w:rPr>
                <w:webHidden/>
              </w:rPr>
              <w:fldChar w:fldCharType="begin"/>
            </w:r>
            <w:r>
              <w:rPr>
                <w:webHidden/>
              </w:rPr>
              <w:instrText xml:space="preserve"> PAGEREF _Toc358033220 \h </w:instrText>
            </w:r>
            <w:r>
              <w:rPr>
                <w:webHidden/>
              </w:rPr>
            </w:r>
            <w:r>
              <w:rPr>
                <w:webHidden/>
              </w:rPr>
              <w:fldChar w:fldCharType="separate"/>
            </w:r>
            <w:r>
              <w:rPr>
                <w:webHidden/>
              </w:rPr>
              <w:t>39</w:t>
            </w:r>
            <w:r>
              <w:rPr>
                <w:webHidden/>
              </w:rPr>
              <w:fldChar w:fldCharType="end"/>
            </w:r>
          </w:hyperlink>
        </w:p>
        <w:p w:rsidR="008230AD" w:rsidRDefault="008230AD">
          <w:pPr>
            <w:pStyle w:val="TOC1"/>
            <w:rPr>
              <w:rFonts w:eastAsiaTheme="minorEastAsia"/>
              <w:bCs w:val="0"/>
              <w:caps w:val="0"/>
              <w:noProof/>
              <w:color w:val="auto"/>
              <w:sz w:val="22"/>
              <w:szCs w:val="22"/>
              <w:lang w:val="en-AU" w:eastAsia="en-AU"/>
            </w:rPr>
          </w:pPr>
          <w:hyperlink w:anchor="_Toc358033221" w:history="1">
            <w:r w:rsidRPr="005C3015">
              <w:rPr>
                <w:rStyle w:val="Hyperlink"/>
                <w:noProof/>
              </w:rPr>
              <w:t>APPENDIX B – Supplementary Data TABLES</w:t>
            </w:r>
            <w:r>
              <w:rPr>
                <w:noProof/>
                <w:webHidden/>
              </w:rPr>
              <w:tab/>
            </w:r>
            <w:r>
              <w:rPr>
                <w:noProof/>
                <w:webHidden/>
              </w:rPr>
              <w:fldChar w:fldCharType="begin"/>
            </w:r>
            <w:r>
              <w:rPr>
                <w:noProof/>
                <w:webHidden/>
              </w:rPr>
              <w:instrText xml:space="preserve"> PAGEREF _Toc358033221 \h </w:instrText>
            </w:r>
            <w:r>
              <w:rPr>
                <w:noProof/>
                <w:webHidden/>
              </w:rPr>
            </w:r>
            <w:r>
              <w:rPr>
                <w:noProof/>
                <w:webHidden/>
              </w:rPr>
              <w:fldChar w:fldCharType="separate"/>
            </w:r>
            <w:r>
              <w:rPr>
                <w:noProof/>
                <w:webHidden/>
              </w:rPr>
              <w:t>42</w:t>
            </w:r>
            <w:r>
              <w:rPr>
                <w:noProof/>
                <w:webHidden/>
              </w:rPr>
              <w:fldChar w:fldCharType="end"/>
            </w:r>
          </w:hyperlink>
        </w:p>
        <w:p w:rsidR="008230AD" w:rsidRDefault="008230AD">
          <w:pPr>
            <w:pStyle w:val="TOC2"/>
            <w:rPr>
              <w:rFonts w:eastAsiaTheme="minorEastAsia" w:cstheme="minorBidi"/>
              <w:b w:val="0"/>
              <w:sz w:val="22"/>
              <w:szCs w:val="22"/>
              <w:lang w:val="en-AU" w:eastAsia="en-AU"/>
            </w:rPr>
          </w:pPr>
          <w:hyperlink w:anchor="_Toc358033222" w:history="1">
            <w:r w:rsidRPr="005C3015">
              <w:rPr>
                <w:rStyle w:val="Hyperlink"/>
              </w:rPr>
              <w:t>List of Supplementary Data Tables</w:t>
            </w:r>
            <w:r>
              <w:rPr>
                <w:webHidden/>
              </w:rPr>
              <w:tab/>
            </w:r>
            <w:r>
              <w:rPr>
                <w:webHidden/>
              </w:rPr>
              <w:fldChar w:fldCharType="begin"/>
            </w:r>
            <w:r>
              <w:rPr>
                <w:webHidden/>
              </w:rPr>
              <w:instrText xml:space="preserve"> PAGEREF _Toc358033222 \h </w:instrText>
            </w:r>
            <w:r>
              <w:rPr>
                <w:webHidden/>
              </w:rPr>
            </w:r>
            <w:r>
              <w:rPr>
                <w:webHidden/>
              </w:rPr>
              <w:fldChar w:fldCharType="separate"/>
            </w:r>
            <w:r>
              <w:rPr>
                <w:webHidden/>
              </w:rPr>
              <w:t>42</w:t>
            </w:r>
            <w:r>
              <w:rPr>
                <w:webHidden/>
              </w:rPr>
              <w:fldChar w:fldCharType="end"/>
            </w:r>
          </w:hyperlink>
        </w:p>
        <w:p w:rsidR="003740E8" w:rsidRDefault="00D67B26">
          <w:r>
            <w:rPr>
              <w:bCs/>
              <w:caps/>
              <w:color w:val="244061" w:themeColor="accent1" w:themeShade="80"/>
              <w:sz w:val="28"/>
              <w:szCs w:val="24"/>
            </w:rPr>
            <w:fldChar w:fldCharType="end"/>
          </w:r>
        </w:p>
      </w:sdtContent>
    </w:sdt>
    <w:p w:rsidR="003740E8" w:rsidRDefault="003740E8">
      <w:pPr>
        <w:rPr>
          <w:rFonts w:asciiTheme="majorHAnsi" w:eastAsiaTheme="majorEastAsia" w:hAnsiTheme="majorHAnsi" w:cstheme="majorBidi"/>
          <w:b/>
          <w:bCs/>
          <w:color w:val="365F91" w:themeColor="accent1" w:themeShade="BF"/>
          <w:sz w:val="28"/>
          <w:szCs w:val="28"/>
        </w:rPr>
      </w:pPr>
      <w:r>
        <w:br w:type="page"/>
      </w:r>
      <w:bookmarkStart w:id="3" w:name="_GoBack"/>
      <w:bookmarkEnd w:id="3"/>
    </w:p>
    <w:p w:rsidR="0085283E" w:rsidRPr="008230AD" w:rsidRDefault="0085283E" w:rsidP="008230AD">
      <w:pPr>
        <w:pStyle w:val="Heading1"/>
      </w:pPr>
      <w:bookmarkStart w:id="4" w:name="_Toc358033178"/>
      <w:r w:rsidRPr="008230AD">
        <w:lastRenderedPageBreak/>
        <w:t>Tables and Figures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804"/>
        <w:gridCol w:w="1671"/>
      </w:tblGrid>
      <w:tr w:rsidR="000B5D82" w:rsidTr="00AF59AD">
        <w:tc>
          <w:tcPr>
            <w:tcW w:w="1101" w:type="dxa"/>
          </w:tcPr>
          <w:p w:rsidR="000B5D82" w:rsidRDefault="000B5D82" w:rsidP="000B5D82">
            <w:pPr>
              <w:spacing w:after="120"/>
              <w:jc w:val="both"/>
            </w:pPr>
            <w:r>
              <w:t>Table 1:</w:t>
            </w:r>
          </w:p>
        </w:tc>
        <w:tc>
          <w:tcPr>
            <w:tcW w:w="6804" w:type="dxa"/>
          </w:tcPr>
          <w:p w:rsidR="000B5D82" w:rsidRDefault="00953180" w:rsidP="000B5D82">
            <w:pPr>
              <w:spacing w:after="120"/>
              <w:jc w:val="both"/>
            </w:pPr>
            <w:r>
              <w:t>Percentage distributions of SEIFI IRSD Group by state or territory (15-62 year old population)</w:t>
            </w:r>
          </w:p>
        </w:tc>
        <w:tc>
          <w:tcPr>
            <w:tcW w:w="1671" w:type="dxa"/>
            <w:vAlign w:val="bottom"/>
          </w:tcPr>
          <w:p w:rsidR="000B5D82" w:rsidRDefault="0075000A" w:rsidP="000B5D82">
            <w:pPr>
              <w:spacing w:after="120"/>
              <w:jc w:val="right"/>
            </w:pPr>
            <w:r>
              <w:t>15</w:t>
            </w:r>
          </w:p>
        </w:tc>
      </w:tr>
      <w:tr w:rsidR="000B5D82" w:rsidTr="00AF59AD">
        <w:tc>
          <w:tcPr>
            <w:tcW w:w="1101" w:type="dxa"/>
          </w:tcPr>
          <w:p w:rsidR="000B5D82" w:rsidRDefault="000B5D82" w:rsidP="000B5D82">
            <w:pPr>
              <w:spacing w:after="120"/>
              <w:jc w:val="both"/>
            </w:pPr>
            <w:r>
              <w:t xml:space="preserve">Table 2: </w:t>
            </w:r>
          </w:p>
        </w:tc>
        <w:tc>
          <w:tcPr>
            <w:tcW w:w="6804" w:type="dxa"/>
          </w:tcPr>
          <w:p w:rsidR="000B5D82" w:rsidRDefault="0075000A" w:rsidP="000B5D82">
            <w:pPr>
              <w:spacing w:after="120"/>
              <w:jc w:val="both"/>
            </w:pPr>
            <w:r>
              <w:t xml:space="preserve">Frequency table of SEIFI IRSD Groups by SEIFA IRSD </w:t>
            </w:r>
            <w:proofErr w:type="spellStart"/>
            <w:r w:rsidR="00D57BDC">
              <w:t>decile</w:t>
            </w:r>
            <w:proofErr w:type="spellEnd"/>
            <w:r w:rsidR="00D57BDC">
              <w:t xml:space="preserve"> score of collection district of residence (15-64 year old population)</w:t>
            </w:r>
          </w:p>
        </w:tc>
        <w:tc>
          <w:tcPr>
            <w:tcW w:w="1671" w:type="dxa"/>
            <w:vAlign w:val="bottom"/>
          </w:tcPr>
          <w:p w:rsidR="000B5D82" w:rsidRDefault="000B5D82" w:rsidP="00D57BDC">
            <w:pPr>
              <w:spacing w:after="120"/>
              <w:jc w:val="right"/>
            </w:pPr>
            <w:r>
              <w:t>1</w:t>
            </w:r>
            <w:r w:rsidR="00D57BDC">
              <w:t>8</w:t>
            </w:r>
          </w:p>
        </w:tc>
      </w:tr>
      <w:tr w:rsidR="000B5D82" w:rsidTr="00AF59AD">
        <w:tc>
          <w:tcPr>
            <w:tcW w:w="1101" w:type="dxa"/>
          </w:tcPr>
          <w:p w:rsidR="000B5D82" w:rsidRDefault="000B5D82" w:rsidP="000B5D82">
            <w:pPr>
              <w:spacing w:after="120"/>
              <w:jc w:val="both"/>
            </w:pPr>
            <w:r>
              <w:t>Table 3:</w:t>
            </w:r>
          </w:p>
        </w:tc>
        <w:tc>
          <w:tcPr>
            <w:tcW w:w="6804" w:type="dxa"/>
          </w:tcPr>
          <w:p w:rsidR="000B5D82" w:rsidRDefault="00D57BDC" w:rsidP="000B5D82">
            <w:pPr>
              <w:spacing w:after="120"/>
              <w:jc w:val="both"/>
            </w:pPr>
            <w:r>
              <w:t>Number and percentage of ‘diverse’ collection districts, by state and territory (&gt;19.37% in SEIFI IRSD Group 1 and &gt;30.04% in SEIFI IRSD Group 4)</w:t>
            </w:r>
          </w:p>
        </w:tc>
        <w:tc>
          <w:tcPr>
            <w:tcW w:w="1671" w:type="dxa"/>
            <w:vAlign w:val="bottom"/>
          </w:tcPr>
          <w:p w:rsidR="000B5D82" w:rsidRDefault="000B5D82" w:rsidP="00D57BDC">
            <w:pPr>
              <w:spacing w:after="120"/>
              <w:jc w:val="right"/>
            </w:pPr>
            <w:r>
              <w:t>1</w:t>
            </w:r>
            <w:r w:rsidR="00D57BDC">
              <w:t>9</w:t>
            </w:r>
          </w:p>
        </w:tc>
      </w:tr>
      <w:tr w:rsidR="000B5D82" w:rsidTr="00AF59AD">
        <w:tc>
          <w:tcPr>
            <w:tcW w:w="1101" w:type="dxa"/>
          </w:tcPr>
          <w:p w:rsidR="000B5D82" w:rsidRDefault="000B5D82" w:rsidP="000B5D82">
            <w:pPr>
              <w:spacing w:after="120"/>
              <w:jc w:val="both"/>
            </w:pPr>
            <w:r>
              <w:t>Table 4:</w:t>
            </w:r>
          </w:p>
        </w:tc>
        <w:tc>
          <w:tcPr>
            <w:tcW w:w="6804" w:type="dxa"/>
          </w:tcPr>
          <w:p w:rsidR="000B5D82" w:rsidRDefault="00E40DC9" w:rsidP="000B5D82">
            <w:pPr>
              <w:spacing w:after="120"/>
              <w:jc w:val="both"/>
            </w:pPr>
            <w:r>
              <w:t xml:space="preserve">Suburb-level SEIFA IRSD and SEIFI IRSD data, Ainslie and </w:t>
            </w:r>
            <w:proofErr w:type="spellStart"/>
            <w:r>
              <w:t>Braddon</w:t>
            </w:r>
            <w:proofErr w:type="spellEnd"/>
          </w:p>
        </w:tc>
        <w:tc>
          <w:tcPr>
            <w:tcW w:w="1671" w:type="dxa"/>
            <w:vAlign w:val="bottom"/>
          </w:tcPr>
          <w:p w:rsidR="000B5D82" w:rsidRDefault="00E40DC9" w:rsidP="00E3498D">
            <w:pPr>
              <w:spacing w:after="120"/>
              <w:jc w:val="right"/>
            </w:pPr>
            <w:r>
              <w:t>20</w:t>
            </w:r>
          </w:p>
        </w:tc>
      </w:tr>
      <w:tr w:rsidR="000B5D82" w:rsidTr="00AF59AD">
        <w:tc>
          <w:tcPr>
            <w:tcW w:w="1101" w:type="dxa"/>
          </w:tcPr>
          <w:p w:rsidR="000B5D82" w:rsidRDefault="00E40DC9" w:rsidP="000B5D82">
            <w:pPr>
              <w:spacing w:after="120"/>
              <w:jc w:val="both"/>
            </w:pPr>
            <w:r>
              <w:t>Table 5:</w:t>
            </w:r>
          </w:p>
        </w:tc>
        <w:tc>
          <w:tcPr>
            <w:tcW w:w="6804" w:type="dxa"/>
          </w:tcPr>
          <w:p w:rsidR="000B5D82" w:rsidRDefault="00E40DC9" w:rsidP="00E40DC9">
            <w:pPr>
              <w:spacing w:after="120"/>
              <w:jc w:val="both"/>
            </w:pPr>
            <w:r>
              <w:t xml:space="preserve">Suburb-level SEIFA IRSD and SEIFI IRSD data, </w:t>
            </w:r>
            <w:proofErr w:type="spellStart"/>
            <w:r>
              <w:t>Rivett</w:t>
            </w:r>
            <w:proofErr w:type="spellEnd"/>
            <w:r>
              <w:t xml:space="preserve"> and Chapman</w:t>
            </w:r>
          </w:p>
        </w:tc>
        <w:tc>
          <w:tcPr>
            <w:tcW w:w="1671" w:type="dxa"/>
            <w:vAlign w:val="bottom"/>
          </w:tcPr>
          <w:p w:rsidR="000B5D82" w:rsidRDefault="00665E79" w:rsidP="000B5D82">
            <w:pPr>
              <w:spacing w:after="120"/>
              <w:jc w:val="right"/>
            </w:pPr>
            <w:r>
              <w:t>23</w:t>
            </w:r>
          </w:p>
        </w:tc>
      </w:tr>
      <w:tr w:rsidR="000B5D82" w:rsidTr="00AF59AD">
        <w:tc>
          <w:tcPr>
            <w:tcW w:w="1101" w:type="dxa"/>
          </w:tcPr>
          <w:p w:rsidR="000B5D82" w:rsidRDefault="00E40DC9" w:rsidP="000B5D82">
            <w:pPr>
              <w:spacing w:after="120"/>
              <w:jc w:val="both"/>
            </w:pPr>
            <w:r>
              <w:t xml:space="preserve">Table 6: </w:t>
            </w:r>
          </w:p>
        </w:tc>
        <w:tc>
          <w:tcPr>
            <w:tcW w:w="6804" w:type="dxa"/>
          </w:tcPr>
          <w:p w:rsidR="000B5D82" w:rsidRDefault="00E40DC9" w:rsidP="00E40DC9">
            <w:pPr>
              <w:spacing w:after="120"/>
              <w:jc w:val="both"/>
            </w:pPr>
            <w:r>
              <w:t>SEIFA IRSD and SEIFI IRSD data, Suburb of Kingston and Kingston CD 8014302</w:t>
            </w:r>
          </w:p>
        </w:tc>
        <w:tc>
          <w:tcPr>
            <w:tcW w:w="1671" w:type="dxa"/>
            <w:vAlign w:val="bottom"/>
          </w:tcPr>
          <w:p w:rsidR="000B5D82" w:rsidRDefault="00665E79" w:rsidP="000B5D82">
            <w:pPr>
              <w:spacing w:after="120"/>
              <w:jc w:val="right"/>
            </w:pPr>
            <w:r>
              <w:t>25</w:t>
            </w:r>
          </w:p>
        </w:tc>
      </w:tr>
      <w:tr w:rsidR="000B5D82" w:rsidTr="00AF59AD">
        <w:tc>
          <w:tcPr>
            <w:tcW w:w="1101" w:type="dxa"/>
          </w:tcPr>
          <w:p w:rsidR="000B5D82" w:rsidRDefault="00E40DC9" w:rsidP="000B5D82">
            <w:pPr>
              <w:spacing w:after="120"/>
              <w:jc w:val="both"/>
            </w:pPr>
            <w:r>
              <w:t xml:space="preserve">Table 7: </w:t>
            </w:r>
          </w:p>
        </w:tc>
        <w:tc>
          <w:tcPr>
            <w:tcW w:w="6804" w:type="dxa"/>
          </w:tcPr>
          <w:p w:rsidR="000B5D82" w:rsidRDefault="00E40DC9" w:rsidP="0053237D">
            <w:pPr>
              <w:spacing w:after="120"/>
              <w:jc w:val="both"/>
            </w:pPr>
            <w:r>
              <w:t xml:space="preserve">SEIFA IRSD and SEIFI IRSD data, Suburb of Torrens and Torrens CD </w:t>
            </w:r>
            <w:r w:rsidR="0053237D">
              <w:t>8020701</w:t>
            </w:r>
          </w:p>
        </w:tc>
        <w:tc>
          <w:tcPr>
            <w:tcW w:w="1671" w:type="dxa"/>
            <w:vAlign w:val="bottom"/>
          </w:tcPr>
          <w:p w:rsidR="000B5D82" w:rsidRDefault="00665E79" w:rsidP="00E3498D">
            <w:pPr>
              <w:spacing w:after="120"/>
              <w:jc w:val="right"/>
            </w:pPr>
            <w:r>
              <w:t>26</w:t>
            </w:r>
          </w:p>
        </w:tc>
      </w:tr>
      <w:tr w:rsidR="000B5D82" w:rsidTr="00AF59AD">
        <w:tc>
          <w:tcPr>
            <w:tcW w:w="1101" w:type="dxa"/>
          </w:tcPr>
          <w:p w:rsidR="000B5D82" w:rsidRDefault="0053237D" w:rsidP="000B5D82">
            <w:pPr>
              <w:spacing w:after="120"/>
              <w:jc w:val="both"/>
            </w:pPr>
            <w:r>
              <w:t>Table 8:</w:t>
            </w:r>
          </w:p>
        </w:tc>
        <w:tc>
          <w:tcPr>
            <w:tcW w:w="6804" w:type="dxa"/>
          </w:tcPr>
          <w:p w:rsidR="000B5D82" w:rsidRDefault="0053237D" w:rsidP="00665E79">
            <w:pPr>
              <w:spacing w:after="120"/>
              <w:jc w:val="both"/>
            </w:pPr>
            <w:r>
              <w:t xml:space="preserve">SEIFA IRSD and SEIFI IRSD data, Suburb of Red Hill and Red Hill CD </w:t>
            </w:r>
            <w:r w:rsidR="00665E79">
              <w:t>8014903</w:t>
            </w:r>
          </w:p>
        </w:tc>
        <w:tc>
          <w:tcPr>
            <w:tcW w:w="1671" w:type="dxa"/>
            <w:vAlign w:val="bottom"/>
          </w:tcPr>
          <w:p w:rsidR="000B5D82" w:rsidRDefault="00665E79" w:rsidP="000B5D82">
            <w:pPr>
              <w:spacing w:after="120"/>
              <w:jc w:val="right"/>
            </w:pPr>
            <w:r>
              <w:t>28</w:t>
            </w:r>
          </w:p>
        </w:tc>
      </w:tr>
      <w:tr w:rsidR="000B5D82" w:rsidTr="00AF59AD">
        <w:tc>
          <w:tcPr>
            <w:tcW w:w="1101" w:type="dxa"/>
          </w:tcPr>
          <w:p w:rsidR="000B5D82" w:rsidRDefault="0053237D" w:rsidP="000B5D82">
            <w:pPr>
              <w:spacing w:after="120"/>
              <w:jc w:val="both"/>
            </w:pPr>
            <w:r>
              <w:t xml:space="preserve">Table 9: </w:t>
            </w:r>
          </w:p>
        </w:tc>
        <w:tc>
          <w:tcPr>
            <w:tcW w:w="6804" w:type="dxa"/>
          </w:tcPr>
          <w:p w:rsidR="000B5D82" w:rsidRDefault="0053237D" w:rsidP="00665E79">
            <w:pPr>
              <w:spacing w:after="120"/>
              <w:jc w:val="both"/>
            </w:pPr>
            <w:r>
              <w:t xml:space="preserve">SEIFA IRSD and SEIFI IRSD data, Suburb of Florey and Florey CD </w:t>
            </w:r>
            <w:r w:rsidR="00665E79">
              <w:t>8011704</w:t>
            </w:r>
          </w:p>
        </w:tc>
        <w:tc>
          <w:tcPr>
            <w:tcW w:w="1671" w:type="dxa"/>
            <w:vAlign w:val="bottom"/>
          </w:tcPr>
          <w:p w:rsidR="000B5D82" w:rsidRDefault="00665E79" w:rsidP="00E3498D">
            <w:pPr>
              <w:spacing w:after="120"/>
              <w:jc w:val="right"/>
            </w:pPr>
            <w:r>
              <w:t>29</w:t>
            </w:r>
          </w:p>
        </w:tc>
      </w:tr>
      <w:tr w:rsidR="000B5D82" w:rsidTr="00AF59AD">
        <w:tc>
          <w:tcPr>
            <w:tcW w:w="1101" w:type="dxa"/>
          </w:tcPr>
          <w:p w:rsidR="000B5D82" w:rsidRDefault="00665E79" w:rsidP="000B5D82">
            <w:pPr>
              <w:spacing w:after="120"/>
              <w:jc w:val="both"/>
            </w:pPr>
            <w:r>
              <w:t xml:space="preserve">Table 10: </w:t>
            </w:r>
          </w:p>
        </w:tc>
        <w:tc>
          <w:tcPr>
            <w:tcW w:w="6804" w:type="dxa"/>
          </w:tcPr>
          <w:p w:rsidR="000B5D82" w:rsidRDefault="00665E79" w:rsidP="00665E79">
            <w:pPr>
              <w:spacing w:after="120"/>
              <w:jc w:val="both"/>
            </w:pPr>
            <w:r>
              <w:t>SEIFA IRSD and SEIFI IRSD data, Suburb of Reid</w:t>
            </w:r>
          </w:p>
        </w:tc>
        <w:tc>
          <w:tcPr>
            <w:tcW w:w="1671" w:type="dxa"/>
            <w:vAlign w:val="bottom"/>
          </w:tcPr>
          <w:p w:rsidR="000B5D82" w:rsidRDefault="00665E79" w:rsidP="00E3498D">
            <w:pPr>
              <w:spacing w:after="120"/>
              <w:jc w:val="right"/>
            </w:pPr>
            <w:r>
              <w:t>29</w:t>
            </w:r>
          </w:p>
        </w:tc>
      </w:tr>
      <w:tr w:rsidR="00665E79" w:rsidTr="00AF59AD">
        <w:tc>
          <w:tcPr>
            <w:tcW w:w="1101" w:type="dxa"/>
          </w:tcPr>
          <w:p w:rsidR="00665E79" w:rsidRDefault="00665E79" w:rsidP="000B5D82">
            <w:pPr>
              <w:spacing w:after="120"/>
              <w:jc w:val="both"/>
            </w:pPr>
            <w:r>
              <w:t>Table 11:</w:t>
            </w:r>
          </w:p>
        </w:tc>
        <w:tc>
          <w:tcPr>
            <w:tcW w:w="6804" w:type="dxa"/>
          </w:tcPr>
          <w:p w:rsidR="00665E79" w:rsidRDefault="00665E79" w:rsidP="00665E79">
            <w:pPr>
              <w:spacing w:after="120"/>
              <w:jc w:val="both"/>
            </w:pPr>
            <w:r>
              <w:t>SEIFA IRSD and SEIFI IRSD data, Suburb of Kaleen</w:t>
            </w:r>
          </w:p>
        </w:tc>
        <w:tc>
          <w:tcPr>
            <w:tcW w:w="1671" w:type="dxa"/>
            <w:vAlign w:val="bottom"/>
          </w:tcPr>
          <w:p w:rsidR="00665E79" w:rsidRDefault="00665E79" w:rsidP="00E3498D">
            <w:pPr>
              <w:spacing w:after="120"/>
              <w:jc w:val="right"/>
            </w:pPr>
            <w:r>
              <w:t>30</w:t>
            </w:r>
          </w:p>
        </w:tc>
      </w:tr>
      <w:tr w:rsidR="00665E79" w:rsidTr="00AF59AD">
        <w:tc>
          <w:tcPr>
            <w:tcW w:w="1101" w:type="dxa"/>
          </w:tcPr>
          <w:p w:rsidR="00665E79" w:rsidRDefault="00665E79" w:rsidP="000B5D82">
            <w:pPr>
              <w:spacing w:after="120"/>
              <w:jc w:val="both"/>
            </w:pPr>
            <w:r>
              <w:t xml:space="preserve">Table 12: </w:t>
            </w:r>
          </w:p>
        </w:tc>
        <w:tc>
          <w:tcPr>
            <w:tcW w:w="6804" w:type="dxa"/>
          </w:tcPr>
          <w:p w:rsidR="00665E79" w:rsidRDefault="00665E79" w:rsidP="00665E79">
            <w:pPr>
              <w:spacing w:after="120"/>
              <w:jc w:val="both"/>
            </w:pPr>
            <w:r>
              <w:t xml:space="preserve">SEIFA IRSD and SEIFI IRSD data, Suburb of </w:t>
            </w:r>
            <w:proofErr w:type="spellStart"/>
            <w:r>
              <w:t>Narrabundah</w:t>
            </w:r>
            <w:proofErr w:type="spellEnd"/>
          </w:p>
        </w:tc>
        <w:tc>
          <w:tcPr>
            <w:tcW w:w="1671" w:type="dxa"/>
            <w:vAlign w:val="bottom"/>
          </w:tcPr>
          <w:p w:rsidR="00665E79" w:rsidRDefault="00665E79" w:rsidP="00E3498D">
            <w:pPr>
              <w:spacing w:after="120"/>
              <w:jc w:val="right"/>
            </w:pPr>
            <w:r>
              <w:t>31</w:t>
            </w:r>
          </w:p>
        </w:tc>
      </w:tr>
      <w:tr w:rsidR="00665E79" w:rsidTr="00AF59AD">
        <w:tc>
          <w:tcPr>
            <w:tcW w:w="1101" w:type="dxa"/>
          </w:tcPr>
          <w:p w:rsidR="00665E79" w:rsidRDefault="00665E79" w:rsidP="000B5D82">
            <w:pPr>
              <w:spacing w:after="120"/>
              <w:jc w:val="both"/>
            </w:pPr>
            <w:r>
              <w:t>Table 13:</w:t>
            </w:r>
          </w:p>
        </w:tc>
        <w:tc>
          <w:tcPr>
            <w:tcW w:w="6804" w:type="dxa"/>
          </w:tcPr>
          <w:p w:rsidR="00665E79" w:rsidRDefault="00665E79" w:rsidP="00665E79">
            <w:pPr>
              <w:spacing w:after="120"/>
              <w:jc w:val="both"/>
            </w:pPr>
            <w:r>
              <w:t xml:space="preserve">SEIFA IRSD and SEIFI IRSD data, Suburb of </w:t>
            </w:r>
            <w:proofErr w:type="spellStart"/>
            <w:r>
              <w:t>Ngunnawal</w:t>
            </w:r>
            <w:proofErr w:type="spellEnd"/>
          </w:p>
        </w:tc>
        <w:tc>
          <w:tcPr>
            <w:tcW w:w="1671" w:type="dxa"/>
            <w:vAlign w:val="bottom"/>
          </w:tcPr>
          <w:p w:rsidR="00665E79" w:rsidRDefault="00665E79" w:rsidP="00E3498D">
            <w:pPr>
              <w:spacing w:after="120"/>
              <w:jc w:val="right"/>
            </w:pPr>
            <w:r>
              <w:t>31</w:t>
            </w:r>
          </w:p>
        </w:tc>
      </w:tr>
      <w:tr w:rsidR="00665E79" w:rsidTr="00AF59AD">
        <w:tc>
          <w:tcPr>
            <w:tcW w:w="1101" w:type="dxa"/>
          </w:tcPr>
          <w:p w:rsidR="00665E79" w:rsidRDefault="00665E79" w:rsidP="000B5D82">
            <w:pPr>
              <w:spacing w:after="120"/>
              <w:jc w:val="both"/>
            </w:pPr>
            <w:r>
              <w:t xml:space="preserve">Table 14: </w:t>
            </w:r>
          </w:p>
        </w:tc>
        <w:tc>
          <w:tcPr>
            <w:tcW w:w="6804" w:type="dxa"/>
          </w:tcPr>
          <w:p w:rsidR="00665E79" w:rsidRDefault="00665E79" w:rsidP="00665E79">
            <w:pPr>
              <w:spacing w:after="120"/>
              <w:jc w:val="both"/>
            </w:pPr>
            <w:r>
              <w:t>SEIFA IRSD and SEIFI IRSD data, Suburb of City</w:t>
            </w:r>
          </w:p>
        </w:tc>
        <w:tc>
          <w:tcPr>
            <w:tcW w:w="1671" w:type="dxa"/>
            <w:vAlign w:val="bottom"/>
          </w:tcPr>
          <w:p w:rsidR="00665E79" w:rsidRDefault="00665E79" w:rsidP="00E3498D">
            <w:pPr>
              <w:spacing w:after="120"/>
              <w:jc w:val="right"/>
            </w:pPr>
            <w:r>
              <w:t>32</w:t>
            </w:r>
          </w:p>
        </w:tc>
      </w:tr>
      <w:tr w:rsidR="00665E79" w:rsidTr="00AF59AD">
        <w:tc>
          <w:tcPr>
            <w:tcW w:w="1101" w:type="dxa"/>
          </w:tcPr>
          <w:p w:rsidR="00665E79" w:rsidRDefault="00665E79" w:rsidP="000B5D82">
            <w:pPr>
              <w:spacing w:after="120"/>
              <w:jc w:val="both"/>
            </w:pPr>
            <w:r>
              <w:t xml:space="preserve">Table 15: </w:t>
            </w:r>
          </w:p>
        </w:tc>
        <w:tc>
          <w:tcPr>
            <w:tcW w:w="6804" w:type="dxa"/>
          </w:tcPr>
          <w:p w:rsidR="00665E79" w:rsidRDefault="00665E79" w:rsidP="00665E79">
            <w:pPr>
              <w:spacing w:after="120"/>
              <w:jc w:val="both"/>
            </w:pPr>
            <w:r>
              <w:t>SEIFA IRSD and SEIFI IRSD data, Suburb of Isabella Plains</w:t>
            </w:r>
          </w:p>
        </w:tc>
        <w:tc>
          <w:tcPr>
            <w:tcW w:w="1671" w:type="dxa"/>
            <w:vAlign w:val="bottom"/>
          </w:tcPr>
          <w:p w:rsidR="00665E79" w:rsidRDefault="00665E79" w:rsidP="00E3498D">
            <w:pPr>
              <w:spacing w:after="120"/>
              <w:jc w:val="right"/>
            </w:pPr>
            <w:r>
              <w:t>33</w:t>
            </w:r>
          </w:p>
        </w:tc>
      </w:tr>
      <w:tr w:rsidR="00665E79" w:rsidTr="00AF59AD">
        <w:tc>
          <w:tcPr>
            <w:tcW w:w="1101" w:type="dxa"/>
          </w:tcPr>
          <w:p w:rsidR="00665E79" w:rsidRDefault="00665E79" w:rsidP="000B5D82">
            <w:pPr>
              <w:spacing w:after="120"/>
              <w:jc w:val="both"/>
            </w:pPr>
            <w:r>
              <w:t>Table 16:</w:t>
            </w:r>
          </w:p>
        </w:tc>
        <w:tc>
          <w:tcPr>
            <w:tcW w:w="6804" w:type="dxa"/>
          </w:tcPr>
          <w:p w:rsidR="00665E79" w:rsidRDefault="00665E79" w:rsidP="00665E79">
            <w:pPr>
              <w:spacing w:after="120"/>
              <w:jc w:val="both"/>
            </w:pPr>
            <w:r>
              <w:t xml:space="preserve">SEIFA IRSD and SEIFI IRSD data, Suburb of </w:t>
            </w:r>
            <w:proofErr w:type="spellStart"/>
            <w:r>
              <w:t>Kambah</w:t>
            </w:r>
            <w:proofErr w:type="spellEnd"/>
          </w:p>
        </w:tc>
        <w:tc>
          <w:tcPr>
            <w:tcW w:w="1671" w:type="dxa"/>
            <w:vAlign w:val="bottom"/>
          </w:tcPr>
          <w:p w:rsidR="00665E79" w:rsidRDefault="00665E79" w:rsidP="00E3498D">
            <w:pPr>
              <w:spacing w:after="120"/>
              <w:jc w:val="right"/>
            </w:pPr>
            <w:r>
              <w:t>34</w:t>
            </w:r>
          </w:p>
        </w:tc>
      </w:tr>
      <w:tr w:rsidR="00665E79" w:rsidTr="00AF59AD">
        <w:tc>
          <w:tcPr>
            <w:tcW w:w="1101" w:type="dxa"/>
          </w:tcPr>
          <w:p w:rsidR="00665E79" w:rsidRDefault="00665E79" w:rsidP="000B5D82">
            <w:pPr>
              <w:spacing w:after="120"/>
              <w:jc w:val="both"/>
            </w:pPr>
          </w:p>
        </w:tc>
        <w:tc>
          <w:tcPr>
            <w:tcW w:w="6804" w:type="dxa"/>
          </w:tcPr>
          <w:p w:rsidR="00665E79" w:rsidRDefault="00665E79" w:rsidP="00665E79">
            <w:pPr>
              <w:spacing w:after="120"/>
              <w:jc w:val="both"/>
            </w:pPr>
          </w:p>
          <w:p w:rsidR="00AF59AD" w:rsidRDefault="00AF59AD" w:rsidP="00665E79">
            <w:pPr>
              <w:spacing w:after="120"/>
              <w:jc w:val="both"/>
            </w:pPr>
          </w:p>
        </w:tc>
        <w:tc>
          <w:tcPr>
            <w:tcW w:w="1671" w:type="dxa"/>
            <w:vAlign w:val="bottom"/>
          </w:tcPr>
          <w:p w:rsidR="00665E79" w:rsidRDefault="00665E79" w:rsidP="00E3498D">
            <w:pPr>
              <w:spacing w:after="120"/>
              <w:jc w:val="right"/>
            </w:pPr>
          </w:p>
        </w:tc>
      </w:tr>
      <w:tr w:rsidR="00665E79" w:rsidTr="00AF59AD">
        <w:tc>
          <w:tcPr>
            <w:tcW w:w="1101" w:type="dxa"/>
          </w:tcPr>
          <w:p w:rsidR="00665E79" w:rsidRDefault="00AF59AD" w:rsidP="000B5D82">
            <w:pPr>
              <w:spacing w:after="120"/>
              <w:jc w:val="both"/>
            </w:pPr>
            <w:r>
              <w:t>Figure 1:</w:t>
            </w:r>
          </w:p>
        </w:tc>
        <w:tc>
          <w:tcPr>
            <w:tcW w:w="6804" w:type="dxa"/>
          </w:tcPr>
          <w:p w:rsidR="00665E79" w:rsidRDefault="00AF59AD" w:rsidP="00AF59AD">
            <w:pPr>
              <w:spacing w:after="120"/>
              <w:jc w:val="both"/>
            </w:pPr>
            <w:r>
              <w:t xml:space="preserve">Percentage of individuals in SEIFI IRSD Group 1, by SEIFA IRSD </w:t>
            </w:r>
            <w:proofErr w:type="spellStart"/>
            <w:r>
              <w:t>decile</w:t>
            </w:r>
            <w:proofErr w:type="spellEnd"/>
            <w:r>
              <w:t xml:space="preserve"> score of CD of resident, by state and territory</w:t>
            </w:r>
          </w:p>
        </w:tc>
        <w:tc>
          <w:tcPr>
            <w:tcW w:w="1671" w:type="dxa"/>
            <w:vAlign w:val="bottom"/>
          </w:tcPr>
          <w:p w:rsidR="00665E79" w:rsidRDefault="00AF59AD" w:rsidP="00E3498D">
            <w:pPr>
              <w:spacing w:after="120"/>
              <w:jc w:val="right"/>
            </w:pPr>
            <w:r>
              <w:t>18</w:t>
            </w:r>
          </w:p>
        </w:tc>
      </w:tr>
    </w:tbl>
    <w:p w:rsidR="006B7EFA" w:rsidRDefault="006B7EFA" w:rsidP="0085283E">
      <w:pPr>
        <w:pStyle w:val="Heading1"/>
      </w:pPr>
      <w:r>
        <w:br w:type="page"/>
      </w:r>
    </w:p>
    <w:p w:rsidR="00CA43AF" w:rsidRDefault="00CA43AF" w:rsidP="008451A3">
      <w:pPr>
        <w:pStyle w:val="Heading1"/>
      </w:pPr>
      <w:bookmarkStart w:id="5" w:name="_Toc358033179"/>
      <w:r>
        <w:lastRenderedPageBreak/>
        <w:t>Abbreviations</w:t>
      </w:r>
      <w:bookmarkEnd w:id="5"/>
    </w:p>
    <w:tbl>
      <w:tblPr>
        <w:tblStyle w:val="TableGrid"/>
        <w:tblW w:w="0" w:type="auto"/>
        <w:tblLook w:val="04A0"/>
      </w:tblPr>
      <w:tblGrid>
        <w:gridCol w:w="1462"/>
        <w:gridCol w:w="7718"/>
        <w:gridCol w:w="396"/>
      </w:tblGrid>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ABS</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Australian Bureau of Statistics</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ACT</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Australian Capital Territory</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ASCF</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045525">
            <w:r w:rsidRPr="00992258">
              <w:t xml:space="preserve">Annual Statistics Consultancy Fund </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CD</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Collection District (Census geographic division)</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CSD</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045525">
            <w:r w:rsidRPr="00992258">
              <w:t>ACT Community Services Directorate</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Default="003A2ACD" w:rsidP="00CA43AF">
            <w:r>
              <w:t>ETD</w:t>
            </w:r>
          </w:p>
        </w:tc>
        <w:tc>
          <w:tcPr>
            <w:tcW w:w="7718" w:type="dxa"/>
            <w:tcBorders>
              <w:top w:val="single" w:sz="4" w:space="0" w:color="auto"/>
              <w:left w:val="single" w:sz="4" w:space="0" w:color="auto"/>
              <w:bottom w:val="single" w:sz="4" w:space="0" w:color="auto"/>
              <w:right w:val="single" w:sz="4" w:space="0" w:color="auto"/>
            </w:tcBorders>
          </w:tcPr>
          <w:p w:rsidR="003A2ACD" w:rsidRDefault="003A2ACD" w:rsidP="00045525">
            <w:r>
              <w:t xml:space="preserve">ACT Department of Education and Training </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IRSAD</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Index of Socio-economic Advantage and Disadvantage</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IRSD</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Index of Socio-economic Disadvantage</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MAUP</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Modifiable Areal Unit Problem</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Default="003A2ACD" w:rsidP="00CA43AF">
            <w:r>
              <w:t>PCA</w:t>
            </w:r>
          </w:p>
        </w:tc>
        <w:tc>
          <w:tcPr>
            <w:tcW w:w="7718" w:type="dxa"/>
            <w:tcBorders>
              <w:top w:val="single" w:sz="4" w:space="0" w:color="auto"/>
              <w:left w:val="single" w:sz="4" w:space="0" w:color="auto"/>
              <w:bottom w:val="single" w:sz="4" w:space="0" w:color="auto"/>
              <w:right w:val="single" w:sz="4" w:space="0" w:color="auto"/>
            </w:tcBorders>
          </w:tcPr>
          <w:p w:rsidR="003A2ACD" w:rsidRDefault="003A2ACD" w:rsidP="00045525">
            <w:r>
              <w:t>Principal Components Analysis</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SARIA</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DB641F">
            <w:r w:rsidRPr="00992258">
              <w:t xml:space="preserve">State-based Accessibility/Remoteness Index of Australia </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SEIFA</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Socio-Economic Indexes For Areas</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SEIFI</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Socio-Economic Indexes for Individuals</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SES</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Socio-Economic Status</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SPP</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Specific Purpose Payment</w:t>
            </w:r>
          </w:p>
        </w:tc>
        <w:tc>
          <w:tcPr>
            <w:tcW w:w="396" w:type="dxa"/>
            <w:tcBorders>
              <w:top w:val="nil"/>
              <w:left w:val="single" w:sz="4" w:space="0" w:color="auto"/>
              <w:bottom w:val="nil"/>
              <w:right w:val="nil"/>
            </w:tcBorders>
          </w:tcPr>
          <w:p w:rsidR="003A2ACD" w:rsidRPr="00992258" w:rsidRDefault="003A2ACD" w:rsidP="00CA43AF"/>
        </w:tc>
      </w:tr>
      <w:tr w:rsidR="003A2ACD" w:rsidRPr="00992258" w:rsidTr="00F43741">
        <w:tc>
          <w:tcPr>
            <w:tcW w:w="1462" w:type="dxa"/>
            <w:tcBorders>
              <w:top w:val="single" w:sz="4" w:space="0" w:color="auto"/>
              <w:left w:val="single" w:sz="4" w:space="0" w:color="auto"/>
              <w:bottom w:val="single" w:sz="4" w:space="0" w:color="auto"/>
              <w:right w:val="single" w:sz="4" w:space="0" w:color="auto"/>
            </w:tcBorders>
          </w:tcPr>
          <w:p w:rsidR="003A2ACD" w:rsidRPr="00992258" w:rsidRDefault="003A2ACD" w:rsidP="00CA43AF">
            <w:r w:rsidRPr="00992258">
              <w:t>TAS</w:t>
            </w:r>
          </w:p>
        </w:tc>
        <w:tc>
          <w:tcPr>
            <w:tcW w:w="7718" w:type="dxa"/>
            <w:tcBorders>
              <w:top w:val="single" w:sz="4" w:space="0" w:color="auto"/>
              <w:left w:val="single" w:sz="4" w:space="0" w:color="auto"/>
              <w:bottom w:val="single" w:sz="4" w:space="0" w:color="auto"/>
              <w:right w:val="single" w:sz="4" w:space="0" w:color="auto"/>
            </w:tcBorders>
          </w:tcPr>
          <w:p w:rsidR="003A2ACD" w:rsidRPr="00992258" w:rsidRDefault="003A2ACD" w:rsidP="00045525">
            <w:r w:rsidRPr="00992258">
              <w:t>Targeted Assistance Strategy</w:t>
            </w:r>
          </w:p>
        </w:tc>
        <w:tc>
          <w:tcPr>
            <w:tcW w:w="396" w:type="dxa"/>
            <w:tcBorders>
              <w:top w:val="nil"/>
              <w:left w:val="single" w:sz="4" w:space="0" w:color="auto"/>
              <w:bottom w:val="nil"/>
              <w:right w:val="nil"/>
            </w:tcBorders>
          </w:tcPr>
          <w:p w:rsidR="003A2ACD" w:rsidRPr="00992258" w:rsidRDefault="003A2ACD" w:rsidP="00CA43AF"/>
        </w:tc>
      </w:tr>
      <w:tr w:rsidR="009C5A84" w:rsidTr="00F43741">
        <w:tc>
          <w:tcPr>
            <w:tcW w:w="1462" w:type="dxa"/>
            <w:tcBorders>
              <w:top w:val="single" w:sz="4" w:space="0" w:color="auto"/>
              <w:left w:val="nil"/>
              <w:bottom w:val="nil"/>
              <w:right w:val="nil"/>
            </w:tcBorders>
          </w:tcPr>
          <w:p w:rsidR="009C5A84" w:rsidRDefault="009C5A84" w:rsidP="00CA43AF"/>
        </w:tc>
        <w:tc>
          <w:tcPr>
            <w:tcW w:w="7718" w:type="dxa"/>
            <w:tcBorders>
              <w:top w:val="single" w:sz="4" w:space="0" w:color="auto"/>
              <w:left w:val="nil"/>
              <w:bottom w:val="nil"/>
              <w:right w:val="nil"/>
            </w:tcBorders>
          </w:tcPr>
          <w:p w:rsidR="009C5A84" w:rsidRDefault="009C5A84" w:rsidP="00CA43AF"/>
        </w:tc>
        <w:tc>
          <w:tcPr>
            <w:tcW w:w="396" w:type="dxa"/>
            <w:tcBorders>
              <w:top w:val="nil"/>
              <w:left w:val="nil"/>
              <w:bottom w:val="nil"/>
              <w:right w:val="nil"/>
            </w:tcBorders>
          </w:tcPr>
          <w:p w:rsidR="009C5A84" w:rsidRDefault="009C5A84" w:rsidP="00CA43AF"/>
        </w:tc>
      </w:tr>
      <w:tr w:rsidR="009C5A84" w:rsidTr="00F43741">
        <w:tc>
          <w:tcPr>
            <w:tcW w:w="1462" w:type="dxa"/>
            <w:tcBorders>
              <w:top w:val="nil"/>
              <w:left w:val="nil"/>
              <w:bottom w:val="nil"/>
              <w:right w:val="nil"/>
            </w:tcBorders>
          </w:tcPr>
          <w:p w:rsidR="009C5A84" w:rsidRDefault="009C5A84" w:rsidP="00CA43AF"/>
        </w:tc>
        <w:tc>
          <w:tcPr>
            <w:tcW w:w="7718" w:type="dxa"/>
            <w:tcBorders>
              <w:top w:val="nil"/>
              <w:left w:val="nil"/>
              <w:bottom w:val="nil"/>
              <w:right w:val="nil"/>
            </w:tcBorders>
          </w:tcPr>
          <w:p w:rsidR="009C5A84" w:rsidRDefault="009C5A84" w:rsidP="00CA43AF"/>
        </w:tc>
        <w:tc>
          <w:tcPr>
            <w:tcW w:w="396" w:type="dxa"/>
            <w:tcBorders>
              <w:top w:val="nil"/>
              <w:left w:val="nil"/>
              <w:bottom w:val="nil"/>
              <w:right w:val="nil"/>
            </w:tcBorders>
          </w:tcPr>
          <w:p w:rsidR="009C5A84" w:rsidRDefault="009C5A84" w:rsidP="00CA43AF"/>
        </w:tc>
      </w:tr>
    </w:tbl>
    <w:p w:rsidR="00CA43AF" w:rsidRDefault="00CA43AF" w:rsidP="00CA43AF"/>
    <w:p w:rsidR="00CA43AF" w:rsidRDefault="00CA43AF" w:rsidP="00F81334">
      <w:pPr>
        <w:pStyle w:val="Heading1"/>
      </w:pPr>
      <w:r>
        <w:br w:type="page"/>
      </w:r>
    </w:p>
    <w:p w:rsidR="00257BED" w:rsidRPr="00F81334" w:rsidRDefault="003900E5" w:rsidP="00F81334">
      <w:pPr>
        <w:pStyle w:val="Heading1"/>
      </w:pPr>
      <w:bookmarkStart w:id="6" w:name="_Toc358033180"/>
      <w:r w:rsidRPr="00F81334">
        <w:lastRenderedPageBreak/>
        <w:t>Summary</w:t>
      </w:r>
      <w:bookmarkEnd w:id="6"/>
    </w:p>
    <w:p w:rsidR="00AA25FB" w:rsidRPr="00914645" w:rsidRDefault="00AA25FB" w:rsidP="008230AD">
      <w:pPr>
        <w:pStyle w:val="Heading2"/>
      </w:pPr>
      <w:bookmarkStart w:id="7" w:name="_Toc358033181"/>
      <w:r w:rsidRPr="00914645">
        <w:t>Background</w:t>
      </w:r>
      <w:bookmarkEnd w:id="7"/>
    </w:p>
    <w:p w:rsidR="00E42E9E" w:rsidRDefault="00510319" w:rsidP="00510319">
      <w:r>
        <w:t>The Socio-Economic Indexes for Individuals (SEIFI) is a</w:t>
      </w:r>
      <w:r w:rsidR="00250748">
        <w:t xml:space="preserve"> new</w:t>
      </w:r>
      <w:r w:rsidR="00A76B12">
        <w:t xml:space="preserve"> set of</w:t>
      </w:r>
      <w:r w:rsidR="00613C59">
        <w:t xml:space="preserve"> multi-dimensional measure</w:t>
      </w:r>
      <w:r w:rsidR="00A76B12">
        <w:t>s</w:t>
      </w:r>
      <w:r w:rsidR="00250748">
        <w:t xml:space="preserve"> of relative socio-economic disadvantage </w:t>
      </w:r>
      <w:r w:rsidR="00AE31C5">
        <w:t>that</w:t>
      </w:r>
      <w:r w:rsidR="00A76B12">
        <w:t xml:space="preserve"> captures</w:t>
      </w:r>
      <w:r w:rsidR="00AE31C5">
        <w:t xml:space="preserve"> and score</w:t>
      </w:r>
      <w:r w:rsidR="00A76B12">
        <w:t>s</w:t>
      </w:r>
      <w:r w:rsidR="00AE31C5">
        <w:t xml:space="preserve"> an individual’s</w:t>
      </w:r>
      <w:r w:rsidR="00613C59">
        <w:t xml:space="preserve"> </w:t>
      </w:r>
      <w:r w:rsidR="006B17BE">
        <w:t>relative access to material and social resources</w:t>
      </w:r>
      <w:r w:rsidR="00FB00E8">
        <w:t xml:space="preserve"> being produced by the ABS</w:t>
      </w:r>
      <w:r w:rsidR="00AE31C5">
        <w:t>. Like its predecessor, the Socio-Economic I</w:t>
      </w:r>
      <w:r w:rsidR="006A3BE8">
        <w:t>ndexes for Areas (SEIFA), SEIFI is a location-based measure using variables on income, employment, occupation,</w:t>
      </w:r>
      <w:r w:rsidR="006B17BE">
        <w:t xml:space="preserve"> education</w:t>
      </w:r>
      <w:r w:rsidR="006A3BE8">
        <w:t>,</w:t>
      </w:r>
      <w:r w:rsidR="006B17BE">
        <w:t xml:space="preserve"> and housing </w:t>
      </w:r>
      <w:r w:rsidR="00AE31C5">
        <w:t>from the 2006 Census</w:t>
      </w:r>
      <w:r w:rsidR="006B17BE">
        <w:t>.</w:t>
      </w:r>
      <w:r w:rsidR="002D0947">
        <w:t xml:space="preserve"> </w:t>
      </w:r>
    </w:p>
    <w:p w:rsidR="00E6453C" w:rsidRDefault="006A3BE8" w:rsidP="0060721F">
      <w:r>
        <w:t>The SEIFA indexes measure the characteristics of a geographic</w:t>
      </w:r>
      <w:r w:rsidR="00FB00E8">
        <w:t xml:space="preserve"> area</w:t>
      </w:r>
      <w:r>
        <w:t xml:space="preserve"> </w:t>
      </w:r>
      <w:r w:rsidR="006956CF">
        <w:t>that may limit or promote the ability of its residents to participate fully in society by combining the</w:t>
      </w:r>
      <w:r w:rsidR="001A1DB1">
        <w:t xml:space="preserve"> personal attributes of </w:t>
      </w:r>
      <w:r w:rsidR="006956CF">
        <w:t xml:space="preserve">the local population </w:t>
      </w:r>
      <w:proofErr w:type="gramStart"/>
      <w:r w:rsidR="006956CF">
        <w:t xml:space="preserve">with </w:t>
      </w:r>
      <w:r w:rsidR="001A1DB1">
        <w:t xml:space="preserve"> indicators</w:t>
      </w:r>
      <w:proofErr w:type="gramEnd"/>
      <w:r w:rsidR="001A1DB1">
        <w:t xml:space="preserve"> of the accessibility of social and public resources in the area. By contrast, </w:t>
      </w:r>
      <w:r w:rsidR="000260FE">
        <w:t xml:space="preserve">SEIFI is </w:t>
      </w:r>
      <w:r w:rsidR="001A1DB1">
        <w:t xml:space="preserve">specifically </w:t>
      </w:r>
      <w:r w:rsidR="000260FE">
        <w:t>designed to measure</w:t>
      </w:r>
      <w:r w:rsidR="006769BA">
        <w:t xml:space="preserve"> individu</w:t>
      </w:r>
      <w:r w:rsidR="001A1DB1">
        <w:t xml:space="preserve">al relative disadvantage based </w:t>
      </w:r>
      <w:r w:rsidR="003F62BD">
        <w:t>solely</w:t>
      </w:r>
      <w:r w:rsidR="006769BA">
        <w:t xml:space="preserve"> personal attributes</w:t>
      </w:r>
      <w:r w:rsidR="003F62BD">
        <w:t>,</w:t>
      </w:r>
      <w:r w:rsidR="006769BA">
        <w:t xml:space="preserve"> such as household income, educational background, or </w:t>
      </w:r>
      <w:r w:rsidR="000D2CDA">
        <w:t>housing</w:t>
      </w:r>
      <w:r w:rsidR="006769BA">
        <w:t xml:space="preserve"> status</w:t>
      </w:r>
      <w:r w:rsidR="003F62BD">
        <w:t>.</w:t>
      </w:r>
      <w:r w:rsidR="006769BA">
        <w:t xml:space="preserve"> </w:t>
      </w:r>
      <w:r w:rsidR="005F6A82">
        <w:t>In the absence of SEIFI,</w:t>
      </w:r>
      <w:r w:rsidR="00E6453C">
        <w:t xml:space="preserve"> however,</w:t>
      </w:r>
      <w:r w:rsidR="005F6A82">
        <w:t xml:space="preserve"> SEIFA is </w:t>
      </w:r>
      <w:r w:rsidR="00823183">
        <w:t>regularly</w:t>
      </w:r>
      <w:r w:rsidR="005F6A82">
        <w:t xml:space="preserve"> used as a proxy measure for individual-level disadvantage by applying the characteristics of an area to the people who live there. </w:t>
      </w:r>
    </w:p>
    <w:p w:rsidR="00683B08" w:rsidRDefault="00E6453C" w:rsidP="0060721F">
      <w:r>
        <w:t xml:space="preserve">Unfortunately, </w:t>
      </w:r>
      <w:r w:rsidR="00823183">
        <w:t xml:space="preserve">due to the diversity of individual socio-economic circumstances with the Australian population, the averaging effects of the SEIFA methodology often mask relative disadvantage </w:t>
      </w:r>
      <w:r>
        <w:t xml:space="preserve">when applied </w:t>
      </w:r>
      <w:r w:rsidR="00823183">
        <w:t>at the individual level. T</w:t>
      </w:r>
      <w:r w:rsidR="00C00B48">
        <w:t xml:space="preserve">he SEIFA </w:t>
      </w:r>
      <w:r w:rsidR="009A6F64">
        <w:t xml:space="preserve">IRSD (Index of Relative Socio-economic Disadvantage) </w:t>
      </w:r>
      <w:r w:rsidR="00C7234B">
        <w:t>suggests that as little as</w:t>
      </w:r>
      <w:r w:rsidR="00C00B48">
        <w:t xml:space="preserve"> 712 ACT residents experience high </w:t>
      </w:r>
      <w:r w:rsidR="00683B08">
        <w:t xml:space="preserve">relative </w:t>
      </w:r>
      <w:r w:rsidR="00C7234B">
        <w:t xml:space="preserve">socio-economic disadvantage. By contrast, </w:t>
      </w:r>
      <w:r w:rsidR="0043321B">
        <w:t>SEIFI-based calculations estimate that approximately</w:t>
      </w:r>
      <w:r w:rsidR="00683B08">
        <w:t xml:space="preserve"> </w:t>
      </w:r>
      <w:r w:rsidR="00DB4F77">
        <w:t>40,400 ACT</w:t>
      </w:r>
      <w:r w:rsidR="000753A0">
        <w:t xml:space="preserve"> residents experience high disadvantage</w:t>
      </w:r>
      <w:r w:rsidR="00683B08">
        <w:t xml:space="preserve">. </w:t>
      </w:r>
      <w:r w:rsidR="004237DF">
        <w:t xml:space="preserve">However, </w:t>
      </w:r>
      <w:r w:rsidR="00EA0882">
        <w:t xml:space="preserve">the SEIFA indexes </w:t>
      </w:r>
      <w:r w:rsidR="0088347E">
        <w:t>are</w:t>
      </w:r>
      <w:r w:rsidR="0065057D">
        <w:t xml:space="preserve"> widely available, include most of the Australian population</w:t>
      </w:r>
      <w:proofErr w:type="gramStart"/>
      <w:r w:rsidR="0065057D">
        <w:t xml:space="preserve">, </w:t>
      </w:r>
      <w:r w:rsidR="0088347E">
        <w:t xml:space="preserve"> </w:t>
      </w:r>
      <w:r w:rsidR="0065057D">
        <w:t>and</w:t>
      </w:r>
      <w:proofErr w:type="gramEnd"/>
      <w:r w:rsidR="0065057D">
        <w:t xml:space="preserve"> are kno</w:t>
      </w:r>
      <w:r w:rsidR="00D5033B">
        <w:t>wn to correlate to service use r</w:t>
      </w:r>
      <w:r w:rsidR="0065057D">
        <w:t xml:space="preserve">ates, SEIFA is </w:t>
      </w:r>
      <w:r w:rsidR="0088347E">
        <w:t xml:space="preserve">commonly used </w:t>
      </w:r>
      <w:r w:rsidR="00EA0882">
        <w:t xml:space="preserve">by the Australian Commonwealth and </w:t>
      </w:r>
      <w:r w:rsidR="00C7234B">
        <w:t>State or Territory governments</w:t>
      </w:r>
      <w:r w:rsidR="00EA0882">
        <w:t xml:space="preserve"> </w:t>
      </w:r>
      <w:r w:rsidR="00D5033B">
        <w:t xml:space="preserve">to inform funding and service delivery models </w:t>
      </w:r>
      <w:r w:rsidR="00894763">
        <w:t xml:space="preserve">as a proxy measure for the </w:t>
      </w:r>
      <w:r w:rsidR="00344A1B">
        <w:t xml:space="preserve">relative </w:t>
      </w:r>
      <w:r w:rsidR="00894763">
        <w:t xml:space="preserve">disadvantage of individuals </w:t>
      </w:r>
      <w:r w:rsidR="00344A1B">
        <w:t>in an area</w:t>
      </w:r>
      <w:r w:rsidR="00EA0882">
        <w:t xml:space="preserve">. </w:t>
      </w:r>
    </w:p>
    <w:p w:rsidR="006B17BE" w:rsidRDefault="008424EA" w:rsidP="0060721F">
      <w:r>
        <w:t>Despite enjoying one of the lowest levels</w:t>
      </w:r>
      <w:r w:rsidR="00016433">
        <w:t xml:space="preserve"> of </w:t>
      </w:r>
      <w:r>
        <w:t xml:space="preserve">overall </w:t>
      </w:r>
      <w:r w:rsidR="00016433">
        <w:t xml:space="preserve">relative disadvantage </w:t>
      </w:r>
      <w:r w:rsidR="00266E2B">
        <w:t>in Australia</w:t>
      </w:r>
      <w:r w:rsidR="00016433">
        <w:t xml:space="preserve">, </w:t>
      </w:r>
      <w:r w:rsidR="00253CBC">
        <w:t xml:space="preserve">the ACT has </w:t>
      </w:r>
      <w:r w:rsidR="00174CE0">
        <w:t xml:space="preserve">one of the greatest proportions of highly </w:t>
      </w:r>
      <w:r w:rsidR="004C5D8C">
        <w:t>socio-economically diverse neighbourhoods,</w:t>
      </w:r>
      <w:r w:rsidR="00016433">
        <w:t xml:space="preserve"> </w:t>
      </w:r>
      <w:r w:rsidR="00A35535">
        <w:t xml:space="preserve">and, as an aggregate measure, </w:t>
      </w:r>
      <w:r w:rsidR="00016433">
        <w:t>SEIFA only</w:t>
      </w:r>
      <w:r w:rsidR="004C5D8C">
        <w:t xml:space="preserve"> </w:t>
      </w:r>
      <w:r w:rsidR="006C0B1E">
        <w:t>captur</w:t>
      </w:r>
      <w:r w:rsidR="00016433">
        <w:t>es</w:t>
      </w:r>
      <w:r w:rsidR="006C0B1E">
        <w:t xml:space="preserve"> a fraction of the true level of disadvantage being experienced in </w:t>
      </w:r>
      <w:r w:rsidR="00266E2B">
        <w:t>this jurisdiction</w:t>
      </w:r>
      <w:r w:rsidR="006C0B1E">
        <w:t>.</w:t>
      </w:r>
      <w:r w:rsidR="00D91ED7">
        <w:t xml:space="preserve"> </w:t>
      </w:r>
    </w:p>
    <w:p w:rsidR="00B743F4" w:rsidRPr="0060721F" w:rsidRDefault="00B743F4" w:rsidP="0060721F">
      <w:pPr>
        <w:rPr>
          <w:bCs/>
        </w:rPr>
      </w:pPr>
      <w:r w:rsidRPr="0060721F">
        <w:rPr>
          <w:bCs/>
        </w:rPr>
        <w:t xml:space="preserve">The purpose of the ACT SEIFI Analysis Project is therefore to compare the SEIFA </w:t>
      </w:r>
      <w:r w:rsidR="00703531">
        <w:rPr>
          <w:bCs/>
        </w:rPr>
        <w:t xml:space="preserve">IRSD </w:t>
      </w:r>
      <w:r w:rsidRPr="0060721F">
        <w:rPr>
          <w:bCs/>
        </w:rPr>
        <w:t xml:space="preserve">and SEIFI </w:t>
      </w:r>
      <w:r w:rsidR="00703531">
        <w:rPr>
          <w:bCs/>
        </w:rPr>
        <w:t xml:space="preserve">IRSD </w:t>
      </w:r>
      <w:r w:rsidRPr="0060721F">
        <w:rPr>
          <w:bCs/>
        </w:rPr>
        <w:t>data for the Australian Capital Territory and quantify the relative socio-economic disadvantage that is being hidden wherever SEIFA is applied</w:t>
      </w:r>
      <w:r w:rsidR="00703531">
        <w:rPr>
          <w:bCs/>
        </w:rPr>
        <w:t xml:space="preserve"> as a proxy</w:t>
      </w:r>
      <w:r w:rsidRPr="0060721F">
        <w:rPr>
          <w:bCs/>
        </w:rPr>
        <w:t xml:space="preserve">. </w:t>
      </w:r>
      <w:r w:rsidR="00AA25FB" w:rsidRPr="0060721F">
        <w:rPr>
          <w:bCs/>
        </w:rPr>
        <w:t xml:space="preserve">If adopted in place of the SEIFA index, SEIFI can more comprehensively and accurately describe the ACT population and identify vulnerable populations more efficiently.  </w:t>
      </w:r>
    </w:p>
    <w:p w:rsidR="00AA25FB" w:rsidRPr="00914645" w:rsidRDefault="00AA25FB" w:rsidP="008230AD">
      <w:pPr>
        <w:pStyle w:val="Heading2"/>
      </w:pPr>
      <w:bookmarkStart w:id="8" w:name="_Toc358033182"/>
      <w:r w:rsidRPr="00914645">
        <w:t>Understanding the SEIFI and SEIFA Scores</w:t>
      </w:r>
      <w:bookmarkEnd w:id="8"/>
    </w:p>
    <w:p w:rsidR="00185286" w:rsidRDefault="001F20DC" w:rsidP="0070444A">
      <w:r>
        <w:t xml:space="preserve">Using Census data, a </w:t>
      </w:r>
      <w:r w:rsidR="000753A0">
        <w:t xml:space="preserve">SEIFI </w:t>
      </w:r>
      <w:r>
        <w:t>score is calculated for every Australian individual</w:t>
      </w:r>
      <w:r w:rsidR="002E3B47">
        <w:t xml:space="preserve"> aged 15-64</w:t>
      </w:r>
      <w:r>
        <w:t xml:space="preserve">, or, in the case of SEIFA, for each Australian </w:t>
      </w:r>
      <w:r w:rsidR="001412B9">
        <w:t>collection district</w:t>
      </w:r>
      <w:r w:rsidR="008961D5">
        <w:t xml:space="preserve"> (CD)</w:t>
      </w:r>
      <w:r w:rsidR="001412B9">
        <w:t xml:space="preserve">, the smallest Census geographic division. </w:t>
      </w:r>
      <w:r w:rsidR="003445D9">
        <w:t xml:space="preserve"> </w:t>
      </w:r>
      <w:r w:rsidR="00185286">
        <w:t xml:space="preserve">Lower scores </w:t>
      </w:r>
      <w:r w:rsidR="00185286">
        <w:lastRenderedPageBreak/>
        <w:t>correspond to higher relative socio-economic disadvantage, and higher scores correspond to lower relative socio-economic disadvantage</w:t>
      </w:r>
      <w:r w:rsidR="002E3B47">
        <w:t>.</w:t>
      </w:r>
      <w:r w:rsidR="00185286">
        <w:t xml:space="preserve"> </w:t>
      </w:r>
    </w:p>
    <w:p w:rsidR="004B4BCF" w:rsidRDefault="003445D9" w:rsidP="0070444A">
      <w:r>
        <w:t xml:space="preserve">These scores are </w:t>
      </w:r>
      <w:r w:rsidR="00185286">
        <w:t>subsequently</w:t>
      </w:r>
      <w:r>
        <w:t xml:space="preserve"> ranked against each other and individuals or areas are grouped into categories based on where they fall in the ranking. </w:t>
      </w:r>
      <w:r w:rsidR="00185286">
        <w:t xml:space="preserve">Areas are given a SEIFA </w:t>
      </w:r>
      <w:proofErr w:type="spellStart"/>
      <w:r w:rsidR="00185286">
        <w:t>decile</w:t>
      </w:r>
      <w:proofErr w:type="spellEnd"/>
      <w:r w:rsidR="00185286">
        <w:t xml:space="preserve"> score </w:t>
      </w:r>
      <w:r w:rsidR="00074505">
        <w:t xml:space="preserve">from 1-10, and SEIFI results are described as the proportion of local residents who fall into each of four groups, where: </w:t>
      </w:r>
    </w:p>
    <w:p w:rsidR="00185286" w:rsidRDefault="00185286" w:rsidP="00612C2B">
      <w:pPr>
        <w:pStyle w:val="ListParagraph"/>
        <w:numPr>
          <w:ilvl w:val="0"/>
          <w:numId w:val="15"/>
        </w:numPr>
        <w:ind w:left="1134" w:right="1280"/>
      </w:pPr>
      <w:r w:rsidRPr="005B09EC">
        <w:rPr>
          <w:b/>
        </w:rPr>
        <w:t>Group 1</w:t>
      </w:r>
      <w:r>
        <w:t xml:space="preserve"> </w:t>
      </w:r>
      <w:r w:rsidR="00A87E5D">
        <w:t xml:space="preserve">includes anyone in the most disadvantaged 20% of </w:t>
      </w:r>
      <w:r w:rsidR="002E3B47">
        <w:t>all 15-64 year old</w:t>
      </w:r>
      <w:r w:rsidR="00A87E5D">
        <w:t xml:space="preserve"> Australians (first and second deciles)</w:t>
      </w:r>
      <w:r w:rsidR="00993536">
        <w:t>.</w:t>
      </w:r>
    </w:p>
    <w:p w:rsidR="00A87E5D" w:rsidRDefault="00A87E5D" w:rsidP="00612C2B">
      <w:pPr>
        <w:pStyle w:val="ListParagraph"/>
        <w:numPr>
          <w:ilvl w:val="0"/>
          <w:numId w:val="15"/>
        </w:numPr>
        <w:ind w:left="1134" w:right="1280"/>
      </w:pPr>
      <w:r w:rsidRPr="005B09EC">
        <w:rPr>
          <w:b/>
        </w:rPr>
        <w:t>Group 2</w:t>
      </w:r>
      <w:r>
        <w:t xml:space="preserve"> includes anyone in the second most disadvantaged 20% of all </w:t>
      </w:r>
      <w:r w:rsidR="002E3B47">
        <w:t xml:space="preserve">15-64 year old </w:t>
      </w:r>
      <w:r>
        <w:t>Australians (third and fourth deciles)</w:t>
      </w:r>
      <w:r w:rsidR="00993536">
        <w:t>,</w:t>
      </w:r>
    </w:p>
    <w:p w:rsidR="00A87E5D" w:rsidRDefault="00A87E5D" w:rsidP="00612C2B">
      <w:pPr>
        <w:pStyle w:val="ListParagraph"/>
        <w:numPr>
          <w:ilvl w:val="0"/>
          <w:numId w:val="15"/>
        </w:numPr>
        <w:ind w:left="1134" w:right="1280"/>
      </w:pPr>
      <w:r w:rsidRPr="005B09EC">
        <w:rPr>
          <w:b/>
        </w:rPr>
        <w:t>Group 3</w:t>
      </w:r>
      <w:r>
        <w:t xml:space="preserve"> includes anyone in the second least disadvantaged 30% of </w:t>
      </w:r>
      <w:r w:rsidR="005B09EC">
        <w:t xml:space="preserve">all </w:t>
      </w:r>
      <w:r w:rsidR="002E3B47">
        <w:t xml:space="preserve">15-64 year old </w:t>
      </w:r>
      <w:r>
        <w:t>Australians</w:t>
      </w:r>
      <w:r w:rsidR="005B09EC">
        <w:t xml:space="preserve"> (fifth, sixth, and seventh deciles)</w:t>
      </w:r>
      <w:r w:rsidR="00993536">
        <w:t>, and</w:t>
      </w:r>
      <w:r>
        <w:t xml:space="preserve"> </w:t>
      </w:r>
    </w:p>
    <w:p w:rsidR="00A87E5D" w:rsidRDefault="005B09EC" w:rsidP="00612C2B">
      <w:pPr>
        <w:pStyle w:val="ListParagraph"/>
        <w:numPr>
          <w:ilvl w:val="0"/>
          <w:numId w:val="15"/>
        </w:numPr>
        <w:ind w:left="1134" w:right="1280"/>
      </w:pPr>
      <w:r w:rsidRPr="005B09EC">
        <w:rPr>
          <w:b/>
        </w:rPr>
        <w:t xml:space="preserve">Group </w:t>
      </w:r>
      <w:r>
        <w:rPr>
          <w:b/>
        </w:rPr>
        <w:t>4</w:t>
      </w:r>
      <w:r>
        <w:t xml:space="preserve"> includes anyone in the least disadvantaged 30% of all </w:t>
      </w:r>
      <w:r w:rsidR="002E3B47">
        <w:t xml:space="preserve">15-64 year old </w:t>
      </w:r>
      <w:r>
        <w:t>Australians (</w:t>
      </w:r>
      <w:r w:rsidR="00993536">
        <w:t xml:space="preserve">eighth, ninth, and tenth deciles). </w:t>
      </w:r>
    </w:p>
    <w:p w:rsidR="00993536" w:rsidRDefault="00511AD6" w:rsidP="00993536">
      <w:r w:rsidRPr="00511AD6">
        <w:t xml:space="preserve">Because the SEIFI scores cannot be broken down into smaller groupings, the SEIFA </w:t>
      </w:r>
      <w:proofErr w:type="spellStart"/>
      <w:r w:rsidRPr="00511AD6">
        <w:t>decile</w:t>
      </w:r>
      <w:proofErr w:type="spellEnd"/>
      <w:r w:rsidRPr="00511AD6">
        <w:t xml:space="preserve"> scores will also </w:t>
      </w:r>
      <w:r w:rsidR="005635B1">
        <w:t xml:space="preserve">be referred to in the corresponding SEIFI groups to simplify the comparison of data </w:t>
      </w:r>
      <w:r w:rsidRPr="00511AD6">
        <w:t>for the purposes of this report. The term ‘Group 1’ will be used to refer to individuals or areas with SEIFI or SEIFA scores that fall within deciles 1 and 2, ‘Group 2’ with deciles 3 and 4, ‘Group 3’ with deciles 5-7, and ‘Group 4’ with deciles 8-10.</w:t>
      </w:r>
    </w:p>
    <w:p w:rsidR="00BE53D9" w:rsidRPr="00914645" w:rsidRDefault="00BE53D9" w:rsidP="008230AD">
      <w:pPr>
        <w:pStyle w:val="Heading2"/>
      </w:pPr>
      <w:bookmarkStart w:id="9" w:name="_Toc358033183"/>
      <w:r w:rsidRPr="00914645">
        <w:t>Analysis and Key Findings</w:t>
      </w:r>
      <w:bookmarkEnd w:id="9"/>
    </w:p>
    <w:p w:rsidR="009473BD" w:rsidRDefault="009473BD" w:rsidP="008230AD">
      <w:pPr>
        <w:pStyle w:val="Heading3"/>
      </w:pPr>
      <w:bookmarkStart w:id="10" w:name="_Toc358033184"/>
      <w:r w:rsidRPr="00914645">
        <w:t>Hidden disadvantaged in the ACT:</w:t>
      </w:r>
      <w:bookmarkEnd w:id="10"/>
    </w:p>
    <w:p w:rsidR="006E704F" w:rsidRPr="006E704F" w:rsidRDefault="006E704F" w:rsidP="006E704F">
      <w:r>
        <w:t xml:space="preserve">For the purposes of this analysis, an individual is considered ‘masked’ or </w:t>
      </w:r>
      <w:r w:rsidR="004237DF">
        <w:t>‘</w:t>
      </w:r>
      <w:r>
        <w:t>hidden’ if the SEIFA score of the CD or suburb they reside in is higher than their personal SEIFI grouping. In the ACT:</w:t>
      </w:r>
    </w:p>
    <w:p w:rsidR="00BE53D9" w:rsidRDefault="005A2C45" w:rsidP="00612C2B">
      <w:pPr>
        <w:pStyle w:val="ListParagraph"/>
        <w:numPr>
          <w:ilvl w:val="0"/>
          <w:numId w:val="21"/>
        </w:numPr>
      </w:pPr>
      <w:r>
        <w:t xml:space="preserve">28,639 individuals aged </w:t>
      </w:r>
      <w:r w:rsidR="00BD4DA4">
        <w:t>15-64</w:t>
      </w:r>
      <w:r w:rsidR="008961D5">
        <w:t xml:space="preserve"> have been identified by SEIFI as falling into Group 1</w:t>
      </w:r>
      <w:r w:rsidR="007F4857">
        <w:t>.</w:t>
      </w:r>
    </w:p>
    <w:p w:rsidR="009F6064" w:rsidRDefault="005A2C45" w:rsidP="00612C2B">
      <w:pPr>
        <w:pStyle w:val="ListParagraph"/>
        <w:numPr>
          <w:ilvl w:val="0"/>
          <w:numId w:val="21"/>
        </w:numPr>
      </w:pPr>
      <w:r>
        <w:t>26,001 individuals aged 15-</w:t>
      </w:r>
      <w:r w:rsidR="009F6064">
        <w:t xml:space="preserve">64 have been identified </w:t>
      </w:r>
      <w:r w:rsidR="009B59DF">
        <w:t>by SEIFI as falling into Group 2</w:t>
      </w:r>
      <w:r w:rsidR="007F4857">
        <w:t>.</w:t>
      </w:r>
    </w:p>
    <w:p w:rsidR="008961D5" w:rsidRDefault="008961D5" w:rsidP="00612C2B">
      <w:pPr>
        <w:pStyle w:val="ListParagraph"/>
        <w:numPr>
          <w:ilvl w:val="0"/>
          <w:numId w:val="21"/>
        </w:numPr>
      </w:pPr>
      <w:r>
        <w:t xml:space="preserve">12,726 or 44.4% of the ACT Group 1 population </w:t>
      </w:r>
      <w:r w:rsidR="00851BB3">
        <w:t xml:space="preserve">aged </w:t>
      </w:r>
      <w:r w:rsidR="00BD4DA4">
        <w:t>15-64</w:t>
      </w:r>
      <w:r w:rsidR="00851BB3">
        <w:t xml:space="preserve"> </w:t>
      </w:r>
      <w:r>
        <w:t xml:space="preserve">reside in CDs with SEIFA scores of 8 to </w:t>
      </w:r>
      <w:r w:rsidR="009473BD">
        <w:t>higher</w:t>
      </w:r>
      <w:r w:rsidR="007F4857">
        <w:t>.</w:t>
      </w:r>
    </w:p>
    <w:p w:rsidR="008961D5" w:rsidRDefault="00DB4F77" w:rsidP="00612C2B">
      <w:pPr>
        <w:pStyle w:val="ListParagraph"/>
        <w:numPr>
          <w:ilvl w:val="0"/>
          <w:numId w:val="21"/>
        </w:numPr>
      </w:pPr>
      <w:r>
        <w:t>15,868 or</w:t>
      </w:r>
      <w:r w:rsidR="008961D5">
        <w:t xml:space="preserve"> 61.0</w:t>
      </w:r>
      <w:r>
        <w:t>% of</w:t>
      </w:r>
      <w:r w:rsidR="008961D5">
        <w:t xml:space="preserve"> the ACT Group 2 population </w:t>
      </w:r>
      <w:r w:rsidR="00851BB3">
        <w:t xml:space="preserve">aged </w:t>
      </w:r>
      <w:r w:rsidR="00BD4DA4">
        <w:t>15-64</w:t>
      </w:r>
      <w:r w:rsidR="00851BB3">
        <w:t xml:space="preserve"> </w:t>
      </w:r>
      <w:r>
        <w:t>reside in</w:t>
      </w:r>
      <w:r w:rsidR="008961D5">
        <w:t xml:space="preserve"> CDs with SEIFI scores of 8 or higher</w:t>
      </w:r>
      <w:r w:rsidR="007F4857">
        <w:t>.</w:t>
      </w:r>
    </w:p>
    <w:p w:rsidR="006E704F" w:rsidRDefault="006E704F" w:rsidP="006E704F">
      <w:pPr>
        <w:pStyle w:val="ListParagraph"/>
        <w:numPr>
          <w:ilvl w:val="0"/>
          <w:numId w:val="21"/>
        </w:numPr>
      </w:pPr>
      <w:r>
        <w:t xml:space="preserve">93.4% of individuals aged 15-64 who fall into Group 1 or Group 2 live in a CD with a SEIFA score that </w:t>
      </w:r>
      <w:proofErr w:type="gramStart"/>
      <w:r>
        <w:t>is</w:t>
      </w:r>
      <w:proofErr w:type="gramEnd"/>
      <w:r>
        <w:t xml:space="preserve"> higher than the level of disadvantage they experience, over 51,000 people.</w:t>
      </w:r>
    </w:p>
    <w:p w:rsidR="007F4857" w:rsidRDefault="007F4857" w:rsidP="00612C2B">
      <w:pPr>
        <w:pStyle w:val="ListParagraph"/>
        <w:numPr>
          <w:ilvl w:val="0"/>
          <w:numId w:val="21"/>
        </w:numPr>
      </w:pPr>
      <w:r>
        <w:t xml:space="preserve">59 ACT CDs are ‘diverse’ with above average proportions of both Group 1 individuals aged </w:t>
      </w:r>
      <w:r w:rsidR="00BD4DA4">
        <w:t>15-64</w:t>
      </w:r>
      <w:r>
        <w:t xml:space="preserve"> and Group 4 individuals aged </w:t>
      </w:r>
      <w:r w:rsidR="00BD4DA4">
        <w:t>15-64</w:t>
      </w:r>
      <w:r>
        <w:t>.</w:t>
      </w:r>
      <w:r w:rsidR="00A54153">
        <w:t xml:space="preserve">Over 8000 ACT residents living in a diverse collection district are hidden. </w:t>
      </w:r>
    </w:p>
    <w:p w:rsidR="004E2622" w:rsidRDefault="004E2622">
      <w:pPr>
        <w:rPr>
          <w:rFonts w:eastAsiaTheme="majorEastAsia" w:cstheme="majorBidi"/>
          <w:b/>
          <w:bCs/>
          <w:i/>
          <w:color w:val="31849B" w:themeColor="accent5" w:themeShade="BF"/>
          <w:sz w:val="24"/>
          <w:szCs w:val="24"/>
        </w:rPr>
      </w:pPr>
      <w:r>
        <w:rPr>
          <w:rFonts w:eastAsiaTheme="majorEastAsia" w:cstheme="majorBidi"/>
          <w:b/>
          <w:bCs/>
          <w:i/>
          <w:color w:val="31849B" w:themeColor="accent5" w:themeShade="BF"/>
          <w:sz w:val="24"/>
          <w:szCs w:val="24"/>
        </w:rPr>
        <w:br w:type="page"/>
      </w:r>
    </w:p>
    <w:p w:rsidR="009473BD" w:rsidRPr="00914645" w:rsidRDefault="00067FB8" w:rsidP="008230AD">
      <w:pPr>
        <w:pStyle w:val="Heading3"/>
      </w:pPr>
      <w:bookmarkStart w:id="11" w:name="_Toc358033185"/>
      <w:r>
        <w:lastRenderedPageBreak/>
        <w:t xml:space="preserve">Select </w:t>
      </w:r>
      <w:r w:rsidR="009473BD" w:rsidRPr="00914645">
        <w:t>Community Profiles:</w:t>
      </w:r>
      <w:bookmarkEnd w:id="11"/>
    </w:p>
    <w:p w:rsidR="00461EA5" w:rsidRDefault="00461EA5" w:rsidP="009473BD">
      <w:r>
        <w:t>The analysis</w:t>
      </w:r>
      <w:r w:rsidR="000B2E3C">
        <w:t xml:space="preserve"> using SEIFI</w:t>
      </w:r>
      <w:r>
        <w:t xml:space="preserve"> highlight</w:t>
      </w:r>
      <w:r w:rsidR="000B2E3C">
        <w:t>s</w:t>
      </w:r>
      <w:r>
        <w:t xml:space="preserve"> that</w:t>
      </w:r>
      <w:r w:rsidR="004B6DEB">
        <w:t xml:space="preserve"> SEIFA</w:t>
      </w:r>
      <w:r w:rsidR="00165F2D">
        <w:t xml:space="preserve"> IRSD</w:t>
      </w:r>
      <w:r w:rsidR="004B6DEB">
        <w:t xml:space="preserve"> </w:t>
      </w:r>
      <w:r w:rsidR="000B2E3C">
        <w:t>does not</w:t>
      </w:r>
      <w:r w:rsidR="004B6DEB">
        <w:t xml:space="preserve"> predict individual-level disadvantage in the ACT and is therefore not appropriate as a proxy measure for individual socio-economic status. </w:t>
      </w:r>
    </w:p>
    <w:p w:rsidR="009473BD" w:rsidRDefault="000E7135" w:rsidP="00AF6480">
      <w:pPr>
        <w:pStyle w:val="ListParagraph"/>
        <w:numPr>
          <w:ilvl w:val="0"/>
          <w:numId w:val="22"/>
        </w:numPr>
        <w:spacing w:after="120"/>
        <w:ind w:left="714" w:hanging="357"/>
        <w:contextualSpacing w:val="0"/>
      </w:pPr>
      <w:r w:rsidRPr="000E7135">
        <w:rPr>
          <w:b/>
        </w:rPr>
        <w:t xml:space="preserve">Ainslie and </w:t>
      </w:r>
      <w:proofErr w:type="spellStart"/>
      <w:r w:rsidRPr="000E7135">
        <w:rPr>
          <w:b/>
        </w:rPr>
        <w:t>Braddon</w:t>
      </w:r>
      <w:proofErr w:type="spellEnd"/>
      <w:r>
        <w:t xml:space="preserve">: </w:t>
      </w:r>
      <w:r w:rsidR="009473BD">
        <w:t xml:space="preserve">Ainslie and </w:t>
      </w:r>
      <w:proofErr w:type="spellStart"/>
      <w:r w:rsidR="009473BD">
        <w:t>Braddon</w:t>
      </w:r>
      <w:proofErr w:type="spellEnd"/>
      <w:r w:rsidR="009473BD">
        <w:t xml:space="preserve"> have very different SEIFA </w:t>
      </w:r>
      <w:r w:rsidR="00165F2D">
        <w:t xml:space="preserve">IRSD </w:t>
      </w:r>
      <w:r w:rsidR="006E2EBF">
        <w:t xml:space="preserve">scores </w:t>
      </w:r>
      <w:r w:rsidR="009473BD">
        <w:t>but very simi</w:t>
      </w:r>
      <w:r w:rsidR="00165F2D">
        <w:t>lar distributions of individual-</w:t>
      </w:r>
      <w:r w:rsidR="009473BD">
        <w:t>level disadvantage</w:t>
      </w:r>
      <w:r w:rsidR="00165F2D">
        <w:t>,</w:t>
      </w:r>
      <w:r w:rsidR="006E2EBF">
        <w:t xml:space="preserve"> according to SEIFI</w:t>
      </w:r>
      <w:r w:rsidR="0048542B">
        <w:t xml:space="preserve">. In </w:t>
      </w:r>
      <w:proofErr w:type="spellStart"/>
      <w:r w:rsidR="0048542B">
        <w:t>Braddon</w:t>
      </w:r>
      <w:proofErr w:type="spellEnd"/>
      <w:r w:rsidR="0048542B">
        <w:t xml:space="preserve">, 534 Group 2 individuals </w:t>
      </w:r>
      <w:r w:rsidR="006E2EBF">
        <w:t xml:space="preserve">aged </w:t>
      </w:r>
      <w:r w:rsidR="00BD4DA4">
        <w:t>15-64</w:t>
      </w:r>
      <w:r w:rsidR="006E2EBF">
        <w:t xml:space="preserve"> </w:t>
      </w:r>
      <w:r w:rsidR="0048542B">
        <w:t xml:space="preserve">are </w:t>
      </w:r>
      <w:r w:rsidR="006E2EBF">
        <w:t>hidden by</w:t>
      </w:r>
      <w:r w:rsidR="0048542B">
        <w:t xml:space="preserve"> the suburb</w:t>
      </w:r>
      <w:r w:rsidR="006E2EBF">
        <w:t>’</w:t>
      </w:r>
      <w:r w:rsidR="0048542B">
        <w:t>s SEIFA</w:t>
      </w:r>
      <w:r w:rsidR="00165F2D">
        <w:t xml:space="preserve"> IRSD</w:t>
      </w:r>
      <w:r w:rsidR="006E2EBF">
        <w:t xml:space="preserve"> score of 4</w:t>
      </w:r>
      <w:r w:rsidR="0048542B">
        <w:t xml:space="preserve">. </w:t>
      </w:r>
      <w:r w:rsidR="00FD11CA">
        <w:t>Comparatively</w:t>
      </w:r>
      <w:r w:rsidR="0048542B">
        <w:t xml:space="preserve">, </w:t>
      </w:r>
      <w:r w:rsidR="00FD11CA">
        <w:t>Ainslie has a higher SEIFA score but also a higher number of hidden disadvantaged</w:t>
      </w:r>
      <w:r w:rsidR="0048542B">
        <w:t>,</w:t>
      </w:r>
      <w:r w:rsidR="00FD11CA">
        <w:t xml:space="preserve"> where</w:t>
      </w:r>
      <w:r w:rsidR="0048542B">
        <w:t xml:space="preserve"> a total of 750</w:t>
      </w:r>
      <w:r w:rsidR="00FD11CA">
        <w:t xml:space="preserve"> Group 1 and Group 2</w:t>
      </w:r>
      <w:r w:rsidR="0048542B">
        <w:t xml:space="preserve"> individuals </w:t>
      </w:r>
      <w:r w:rsidR="00FD11CA">
        <w:t xml:space="preserve">aged </w:t>
      </w:r>
      <w:r w:rsidR="00BD4DA4">
        <w:t>15-64</w:t>
      </w:r>
      <w:r w:rsidR="00FD11CA">
        <w:t xml:space="preserve"> </w:t>
      </w:r>
      <w:r w:rsidR="0048542B">
        <w:t xml:space="preserve">are </w:t>
      </w:r>
      <w:r w:rsidR="00FD11CA">
        <w:t xml:space="preserve">masked. </w:t>
      </w:r>
    </w:p>
    <w:p w:rsidR="00461EA5" w:rsidRDefault="000E7135" w:rsidP="00AF6480">
      <w:pPr>
        <w:pStyle w:val="ListParagraph"/>
        <w:numPr>
          <w:ilvl w:val="0"/>
          <w:numId w:val="22"/>
        </w:numPr>
        <w:spacing w:after="120"/>
        <w:ind w:left="714" w:hanging="357"/>
        <w:contextualSpacing w:val="0"/>
      </w:pPr>
      <w:proofErr w:type="spellStart"/>
      <w:r w:rsidRPr="000E7135">
        <w:rPr>
          <w:b/>
        </w:rPr>
        <w:t>Rivett</w:t>
      </w:r>
      <w:proofErr w:type="spellEnd"/>
      <w:r w:rsidRPr="000E7135">
        <w:rPr>
          <w:b/>
        </w:rPr>
        <w:t xml:space="preserve"> and Chapman</w:t>
      </w:r>
      <w:r>
        <w:t xml:space="preserve">: </w:t>
      </w:r>
      <w:proofErr w:type="spellStart"/>
      <w:r w:rsidR="00461EA5">
        <w:t>Rivett</w:t>
      </w:r>
      <w:proofErr w:type="spellEnd"/>
      <w:r w:rsidR="00461EA5">
        <w:t xml:space="preserve"> and Chapman </w:t>
      </w:r>
      <w:r w:rsidR="00FD11CA">
        <w:t>exhibit the reverse trend</w:t>
      </w:r>
      <w:r w:rsidR="001826BE">
        <w:t xml:space="preserve">. These neighbouring suburbs </w:t>
      </w:r>
      <w:r w:rsidR="00461EA5">
        <w:t>have similar</w:t>
      </w:r>
      <w:r w:rsidR="001826BE">
        <w:t>ly high</w:t>
      </w:r>
      <w:r w:rsidR="00461EA5">
        <w:t xml:space="preserve"> SEIFA </w:t>
      </w:r>
      <w:r w:rsidR="006614ED">
        <w:t xml:space="preserve">IRSD </w:t>
      </w:r>
      <w:r w:rsidR="00461EA5">
        <w:t xml:space="preserve">scores </w:t>
      </w:r>
      <w:r w:rsidR="000C7D33">
        <w:t xml:space="preserve">(8 and 10, respectively) </w:t>
      </w:r>
      <w:r w:rsidR="00461EA5">
        <w:t xml:space="preserve">but </w:t>
      </w:r>
      <w:r w:rsidR="000C7D33">
        <w:t>very different</w:t>
      </w:r>
      <w:r w:rsidR="00461EA5">
        <w:t xml:space="preserve"> distributi</w:t>
      </w:r>
      <w:r w:rsidR="000C7D33">
        <w:t xml:space="preserve">ons of individual disadvantage. With low proportions of Group 1 and 2 residents </w:t>
      </w:r>
      <w:r w:rsidR="001826BE">
        <w:t xml:space="preserve">aged </w:t>
      </w:r>
      <w:r w:rsidR="00BD4DA4">
        <w:t>15-64</w:t>
      </w:r>
      <w:r w:rsidR="001826BE">
        <w:t xml:space="preserve"> </w:t>
      </w:r>
      <w:r w:rsidR="000C7D33">
        <w:t xml:space="preserve">but high SEIFA </w:t>
      </w:r>
      <w:r w:rsidR="006614ED">
        <w:t xml:space="preserve">IRSD </w:t>
      </w:r>
      <w:r w:rsidR="000C7D33">
        <w:t xml:space="preserve">scores, 818 relatively disadvantaged individuals are </w:t>
      </w:r>
      <w:r w:rsidR="006D286E">
        <w:t>hidden at the suburb level</w:t>
      </w:r>
      <w:r w:rsidR="000C7D33">
        <w:t xml:space="preserve"> in Chapman. </w:t>
      </w:r>
      <w:r w:rsidR="006614ED">
        <w:t>With</w:t>
      </w:r>
      <w:r w:rsidR="000C7D33">
        <w:t xml:space="preserve"> a lower SEIFA </w:t>
      </w:r>
      <w:r w:rsidR="006614ED">
        <w:t xml:space="preserve">IRSD </w:t>
      </w:r>
      <w:r w:rsidR="000C7D33">
        <w:t>score but higher proportions of Group 1 and 2 residents, 1359</w:t>
      </w:r>
      <w:r w:rsidR="006D286E">
        <w:t xml:space="preserve"> individuals are hidden at the suburb level in </w:t>
      </w:r>
      <w:proofErr w:type="spellStart"/>
      <w:r w:rsidR="006D286E">
        <w:t>Rivett</w:t>
      </w:r>
      <w:proofErr w:type="spellEnd"/>
      <w:r w:rsidR="006D286E">
        <w:t xml:space="preserve">. </w:t>
      </w:r>
    </w:p>
    <w:p w:rsidR="006D286E" w:rsidRDefault="000E7135" w:rsidP="00AF6480">
      <w:pPr>
        <w:pStyle w:val="ListParagraph"/>
        <w:numPr>
          <w:ilvl w:val="0"/>
          <w:numId w:val="22"/>
        </w:numPr>
        <w:spacing w:after="120"/>
        <w:ind w:left="714" w:hanging="357"/>
        <w:contextualSpacing w:val="0"/>
      </w:pPr>
      <w:r w:rsidRPr="000E7135">
        <w:rPr>
          <w:b/>
        </w:rPr>
        <w:t>Kingston</w:t>
      </w:r>
      <w:r>
        <w:t xml:space="preserve">: </w:t>
      </w:r>
      <w:r w:rsidR="006D286E">
        <w:t xml:space="preserve">In keeping with the Public Housing Asset Management Strategy principles, public housing in the ACT is ‘salt and peppered’ throughout </w:t>
      </w:r>
      <w:r w:rsidR="00165F2D">
        <w:t>most</w:t>
      </w:r>
      <w:r w:rsidR="006D286E">
        <w:t xml:space="preserve"> suburbs. While this </w:t>
      </w:r>
      <w:r w:rsidR="00A71451">
        <w:t xml:space="preserve">strategy </w:t>
      </w:r>
      <w:r w:rsidR="006D286E">
        <w:t>mitigates many of the fa</w:t>
      </w:r>
      <w:r w:rsidR="00A71451">
        <w:t xml:space="preserve">ctors that perpetuate disadvantage, many suburbs with high SEIFA scores have small pockets with high proportions of Group 1 residents, while the remaining suburb residents experience little to no disadvantage. In Kingston, </w:t>
      </w:r>
      <w:r w:rsidR="00A237F1">
        <w:t>27.8% of the suburb</w:t>
      </w:r>
      <w:r w:rsidR="00FB2347">
        <w:t>’</w:t>
      </w:r>
      <w:r w:rsidR="00A237F1">
        <w:t>s Group 1 population</w:t>
      </w:r>
      <w:r w:rsidR="001826BE">
        <w:t xml:space="preserve"> aged 15 -64</w:t>
      </w:r>
      <w:r w:rsidR="00A237F1">
        <w:t xml:space="preserve"> lives in one CD, and a total of 320 Group 1 and Group 2 Kingston residents </w:t>
      </w:r>
      <w:r w:rsidR="001826BE">
        <w:t xml:space="preserve">aged </w:t>
      </w:r>
      <w:r w:rsidR="00BD4DA4">
        <w:t>15-64</w:t>
      </w:r>
      <w:r w:rsidR="001826BE">
        <w:t xml:space="preserve"> </w:t>
      </w:r>
      <w:r w:rsidR="00A237F1">
        <w:t xml:space="preserve">are masked at the suburb level. A similar phenomenon is happening in Torrens, Turner, </w:t>
      </w:r>
      <w:proofErr w:type="spellStart"/>
      <w:r w:rsidR="00A237F1">
        <w:t>Braddon</w:t>
      </w:r>
      <w:proofErr w:type="spellEnd"/>
      <w:r w:rsidR="00A237F1">
        <w:t xml:space="preserve">, Lyons, and Red Hill. </w:t>
      </w:r>
      <w:r w:rsidR="00F00B5B">
        <w:t>This small-scale clustering may increase the risk that these individuals become isolated within their communities</w:t>
      </w:r>
      <w:r w:rsidR="00FB2347">
        <w:t xml:space="preserve"> and experience added dimensions of vulnerability.</w:t>
      </w:r>
    </w:p>
    <w:p w:rsidR="007C481E" w:rsidRDefault="000E7135" w:rsidP="00AF6480">
      <w:pPr>
        <w:pStyle w:val="ListParagraph"/>
        <w:numPr>
          <w:ilvl w:val="0"/>
          <w:numId w:val="22"/>
        </w:numPr>
        <w:spacing w:after="120"/>
        <w:ind w:left="714" w:hanging="357"/>
        <w:contextualSpacing w:val="0"/>
      </w:pPr>
      <w:r w:rsidRPr="000E7135">
        <w:rPr>
          <w:b/>
        </w:rPr>
        <w:t>Red Hill</w:t>
      </w:r>
      <w:r>
        <w:t xml:space="preserve">: </w:t>
      </w:r>
      <w:r w:rsidR="007C481E">
        <w:t xml:space="preserve">59 CDs in the ACT have been identified as diverse, where these CDs have above average proportions of both Group 1 and Group 4 individuals </w:t>
      </w:r>
      <w:r w:rsidR="001826BE">
        <w:t xml:space="preserve">aged </w:t>
      </w:r>
      <w:r w:rsidR="00BD4DA4">
        <w:t>15-64</w:t>
      </w:r>
      <w:r w:rsidR="001826BE">
        <w:t xml:space="preserve"> </w:t>
      </w:r>
      <w:r w:rsidR="007C481E">
        <w:t xml:space="preserve">living together. </w:t>
      </w:r>
      <w:r w:rsidR="00DB442B">
        <w:t>These CDs have SEIFA scores that range from 1 to 9, underscoring the inability of SEIFA to capture the unique features of the distribution of socio-economic disadvantage in the ACT.</w:t>
      </w:r>
      <w:r w:rsidR="007C7B59">
        <w:t xml:space="preserve"> 1</w:t>
      </w:r>
      <w:r>
        <w:t>53</w:t>
      </w:r>
      <w:r w:rsidR="007C7B59">
        <w:t xml:space="preserve"> of the 320 residents</w:t>
      </w:r>
      <w:r w:rsidR="00DB442B">
        <w:t xml:space="preserve"> </w:t>
      </w:r>
      <w:r w:rsidR="007C7B59">
        <w:t xml:space="preserve">in the CD Red Hill </w:t>
      </w:r>
      <w:r w:rsidR="007C7B59" w:rsidRPr="00091A72">
        <w:t>8014903</w:t>
      </w:r>
      <w:r w:rsidR="007C7B59">
        <w:t xml:space="preserve"> fall into Group 1, but </w:t>
      </w:r>
      <w:r>
        <w:t xml:space="preserve">a further 105 fall into Group 4. At the suburb level, 945 relatively disadvantage individuals are not represented by its SEIFA score of 9. </w:t>
      </w:r>
    </w:p>
    <w:p w:rsidR="000E7135" w:rsidRDefault="000E7135" w:rsidP="00AF6480">
      <w:pPr>
        <w:pStyle w:val="ListParagraph"/>
        <w:numPr>
          <w:ilvl w:val="0"/>
          <w:numId w:val="22"/>
        </w:numPr>
        <w:spacing w:after="120"/>
        <w:ind w:left="714" w:hanging="357"/>
        <w:contextualSpacing w:val="0"/>
      </w:pPr>
      <w:r>
        <w:rPr>
          <w:b/>
        </w:rPr>
        <w:t xml:space="preserve">Kaleen: </w:t>
      </w:r>
      <w:r w:rsidR="00AE1D25">
        <w:t>Many of the ACT</w:t>
      </w:r>
      <w:r w:rsidR="00902D33">
        <w:t>’</w:t>
      </w:r>
      <w:r w:rsidR="00AE1D25">
        <w:t xml:space="preserve">s more populous suburbs have high SEIFA </w:t>
      </w:r>
      <w:r w:rsidR="006614ED">
        <w:t xml:space="preserve">IRSD </w:t>
      </w:r>
      <w:r w:rsidR="00AE1D25">
        <w:t>scores and low proportions of highly disadvantaged individuals</w:t>
      </w:r>
      <w:r w:rsidR="007F4857">
        <w:t xml:space="preserve"> aged </w:t>
      </w:r>
      <w:r w:rsidR="00BD4DA4">
        <w:t>15-64</w:t>
      </w:r>
      <w:r w:rsidR="00AE1D25">
        <w:t xml:space="preserve">, but due to their size, they support large numbers of </w:t>
      </w:r>
      <w:r w:rsidR="00902D33">
        <w:t>high</w:t>
      </w:r>
      <w:r w:rsidR="00AE1D25">
        <w:t xml:space="preserve">ly disadvantaged individuals. With a SEIFA </w:t>
      </w:r>
      <w:r w:rsidR="006614ED">
        <w:t xml:space="preserve">IRSD </w:t>
      </w:r>
      <w:r w:rsidR="00AE1D25">
        <w:t xml:space="preserve">score of 9, a staggering 3288 relatively disadvantaged individuals </w:t>
      </w:r>
      <w:r w:rsidR="005F2C26">
        <w:t xml:space="preserve">aged </w:t>
      </w:r>
      <w:r w:rsidR="00BD4DA4">
        <w:t>15-64</w:t>
      </w:r>
      <w:r w:rsidR="005F2C26">
        <w:t xml:space="preserve"> </w:t>
      </w:r>
      <w:r w:rsidR="00AE1D25">
        <w:t xml:space="preserve">are hidden in Kaleen, including </w:t>
      </w:r>
      <w:r w:rsidR="00067FB8">
        <w:t xml:space="preserve">604 Group 1 residents and 728 Group 2 residents. </w:t>
      </w:r>
    </w:p>
    <w:p w:rsidR="00067FB8" w:rsidRDefault="00067FB8" w:rsidP="00AF6480">
      <w:pPr>
        <w:pStyle w:val="ListParagraph"/>
        <w:numPr>
          <w:ilvl w:val="0"/>
          <w:numId w:val="22"/>
        </w:numPr>
        <w:spacing w:after="120"/>
        <w:ind w:left="714" w:hanging="357"/>
        <w:contextualSpacing w:val="0"/>
      </w:pPr>
      <w:r>
        <w:rPr>
          <w:b/>
        </w:rPr>
        <w:t>City:</w:t>
      </w:r>
      <w:r>
        <w:t xml:space="preserve"> Other suburbs with high SEIFA </w:t>
      </w:r>
      <w:r w:rsidR="006614ED">
        <w:t xml:space="preserve">IRSD </w:t>
      </w:r>
      <w:r>
        <w:t xml:space="preserve">scores have small proportions of disadvantaged but also small populations. </w:t>
      </w:r>
      <w:r w:rsidR="009A7FEF">
        <w:t xml:space="preserve">In City, only 111 individuals </w:t>
      </w:r>
      <w:r w:rsidR="00DB4F77">
        <w:t>aged 15</w:t>
      </w:r>
      <w:r w:rsidR="005F2C26">
        <w:t xml:space="preserve">-64 </w:t>
      </w:r>
      <w:r w:rsidR="009A7FEF">
        <w:t xml:space="preserve">fall into Groups 1 and 2, though they are hidden by the suburb’s SEIFA </w:t>
      </w:r>
      <w:r w:rsidR="006614ED">
        <w:t xml:space="preserve">IRSD </w:t>
      </w:r>
      <w:r w:rsidR="009A7FEF">
        <w:t xml:space="preserve">score of 10. </w:t>
      </w:r>
      <w:r>
        <w:t xml:space="preserve">The risk for highly disadvantaged </w:t>
      </w:r>
      <w:r>
        <w:lastRenderedPageBreak/>
        <w:t xml:space="preserve">individuals residing in these areas is that, due to their reduced visibility, it may be more challenging to identify them and provided targeted services accordingly. </w:t>
      </w:r>
    </w:p>
    <w:p w:rsidR="003E6306" w:rsidRPr="00BE53D9" w:rsidRDefault="00BA394E" w:rsidP="00AF6480">
      <w:pPr>
        <w:pStyle w:val="ListParagraph"/>
        <w:numPr>
          <w:ilvl w:val="0"/>
          <w:numId w:val="22"/>
        </w:numPr>
        <w:spacing w:after="120"/>
        <w:ind w:left="714" w:hanging="357"/>
        <w:contextualSpacing w:val="0"/>
      </w:pPr>
      <w:r>
        <w:rPr>
          <w:b/>
        </w:rPr>
        <w:t>Isabella Plains</w:t>
      </w:r>
      <w:r w:rsidR="003E6306">
        <w:t xml:space="preserve">: </w:t>
      </w:r>
      <w:r w:rsidR="001177A3">
        <w:t xml:space="preserve">The subdivision of Tuggeranong is home to the largest proportion of the ACT </w:t>
      </w:r>
      <w:r w:rsidR="00902D33">
        <w:t>residents (</w:t>
      </w:r>
      <w:r w:rsidR="001177A3">
        <w:t>27.4%</w:t>
      </w:r>
      <w:r w:rsidR="00902D33">
        <w:t>)</w:t>
      </w:r>
      <w:r w:rsidR="001177A3">
        <w:t xml:space="preserve">, and also to the majority of the </w:t>
      </w:r>
      <w:r w:rsidR="00902D33">
        <w:t xml:space="preserve">ACT’s </w:t>
      </w:r>
      <w:r w:rsidR="001177A3">
        <w:t>Group 2 population</w:t>
      </w:r>
      <w:r w:rsidR="00DB4F77">
        <w:t xml:space="preserve"> aged 15</w:t>
      </w:r>
      <w:r w:rsidR="005F2C26">
        <w:t>-</w:t>
      </w:r>
      <w:r w:rsidR="00DB4F77">
        <w:t>64</w:t>
      </w:r>
      <w:r>
        <w:t>. Although the overall proportion of Group 2 individuals in the ACT is small, they are geographically clustered in the Tuggeran</w:t>
      </w:r>
      <w:r w:rsidR="005F2C26">
        <w:t xml:space="preserve">ong area. 577 Group </w:t>
      </w:r>
      <w:r w:rsidR="00DB4F77">
        <w:t>2 and</w:t>
      </w:r>
      <w:r w:rsidR="005F2C26">
        <w:t xml:space="preserve"> 453 G</w:t>
      </w:r>
      <w:r>
        <w:t>roup 1 individuals</w:t>
      </w:r>
      <w:r w:rsidR="00DB4F77">
        <w:t xml:space="preserve"> aged 15</w:t>
      </w:r>
      <w:r w:rsidR="005F2C26">
        <w:t>-</w:t>
      </w:r>
      <w:r w:rsidR="00DB4F77">
        <w:t>64 live</w:t>
      </w:r>
      <w:r>
        <w:t xml:space="preserve"> in Isabell</w:t>
      </w:r>
      <w:r w:rsidR="00355A3B">
        <w:t xml:space="preserve">a </w:t>
      </w:r>
      <w:r w:rsidR="00DB4F77">
        <w:t>Plains</w:t>
      </w:r>
      <w:r w:rsidR="00355A3B">
        <w:t xml:space="preserve"> and all are masked by the suburb’s SEIFA </w:t>
      </w:r>
      <w:r w:rsidR="00902D33">
        <w:t xml:space="preserve">IRSD </w:t>
      </w:r>
      <w:r w:rsidR="00355A3B">
        <w:t xml:space="preserve">score of 8. </w:t>
      </w:r>
    </w:p>
    <w:p w:rsidR="00AA25FB" w:rsidRPr="00EE76CB" w:rsidRDefault="00EE76CB" w:rsidP="008230AD">
      <w:pPr>
        <w:pStyle w:val="Heading2"/>
      </w:pPr>
      <w:bookmarkStart w:id="12" w:name="_Toc358033186"/>
      <w:r w:rsidRPr="00EE76CB">
        <w:t>Challenges and Next Steps for Action</w:t>
      </w:r>
      <w:bookmarkEnd w:id="12"/>
    </w:p>
    <w:p w:rsidR="007703A2" w:rsidRDefault="007703A2" w:rsidP="007703A2">
      <w:r>
        <w:t>In order for the SEIFI indexes to become a valuable systemic measure of relative socio-economic disadvantage, the construction of SEIFI needs to be repeated on a regular basis using the most up-to-date methodology and data available. In their 2011 paper, Wise and Mathews identified several methodological issues with SEIFI that have yet to be resolved, including:</w:t>
      </w:r>
    </w:p>
    <w:p w:rsidR="007703A2" w:rsidRDefault="007703A2" w:rsidP="00612C2B">
      <w:pPr>
        <w:pStyle w:val="ListParagraph"/>
        <w:numPr>
          <w:ilvl w:val="0"/>
          <w:numId w:val="13"/>
        </w:numPr>
      </w:pPr>
      <w:r>
        <w:t xml:space="preserve">the need for a consensus on the definition of individual disadvantage, the best set of variables to measure it, and means for validating individual level indexes, </w:t>
      </w:r>
    </w:p>
    <w:p w:rsidR="007703A2" w:rsidRDefault="007703A2" w:rsidP="00612C2B">
      <w:pPr>
        <w:pStyle w:val="ListParagraph"/>
        <w:numPr>
          <w:ilvl w:val="0"/>
          <w:numId w:val="13"/>
        </w:numPr>
      </w:pPr>
      <w:r>
        <w:t>reassessing the issue of individual level diversity once the new ASGS geography standard is introduced and the 2011 Census data is available, and</w:t>
      </w:r>
    </w:p>
    <w:p w:rsidR="007703A2" w:rsidRDefault="007703A2" w:rsidP="00612C2B">
      <w:pPr>
        <w:pStyle w:val="ListParagraph"/>
        <w:numPr>
          <w:ilvl w:val="0"/>
          <w:numId w:val="13"/>
        </w:numPr>
      </w:pPr>
      <w:proofErr w:type="gramStart"/>
      <w:r>
        <w:t>the</w:t>
      </w:r>
      <w:proofErr w:type="gramEnd"/>
      <w:r>
        <w:t xml:space="preserve"> need to determine how SEIFI could be integrated with the existing SEIFA product to optimise the use of available information in evidence-based policy while minimising confusion.</w:t>
      </w:r>
    </w:p>
    <w:p w:rsidR="00344ECB" w:rsidRDefault="00D43489" w:rsidP="00344ECB">
      <w:r>
        <w:t>I</w:t>
      </w:r>
      <w:r w:rsidR="00344ECB">
        <w:t xml:space="preserve">ndividuals under 15 or over 64 years of age </w:t>
      </w:r>
      <w:r>
        <w:t>were</w:t>
      </w:r>
      <w:r w:rsidR="00344ECB">
        <w:t xml:space="preserve"> excluded in the construction of SEIFI</w:t>
      </w:r>
      <w:r w:rsidR="00605514">
        <w:t xml:space="preserve"> because their Census responses did not inform the variable used to calculate the SEIFI scores</w:t>
      </w:r>
      <w:r w:rsidR="00344ECB">
        <w:t xml:space="preserve">, </w:t>
      </w:r>
      <w:r>
        <w:t>t</w:t>
      </w:r>
      <w:r w:rsidR="00605514">
        <w:t>hereby excluding</w:t>
      </w:r>
      <w:r>
        <w:t xml:space="preserve"> approximately</w:t>
      </w:r>
      <w:r w:rsidR="0046721B">
        <w:t xml:space="preserve"> one-third of the population.</w:t>
      </w:r>
      <w:r w:rsidR="0014083E">
        <w:t xml:space="preserve"> In response, t</w:t>
      </w:r>
      <w:r w:rsidR="0046721B">
        <w:t xml:space="preserve">he need for further research into age-specific indexes of individual disadvantage has been </w:t>
      </w:r>
      <w:r w:rsidR="0014083E">
        <w:t>proposed</w:t>
      </w:r>
      <w:r w:rsidR="0046721B">
        <w:t>, which may be extremely valuable for provid</w:t>
      </w:r>
      <w:r w:rsidR="0014083E">
        <w:t xml:space="preserve">ing </w:t>
      </w:r>
      <w:r w:rsidR="0046721B">
        <w:t xml:space="preserve">targeted services </w:t>
      </w:r>
      <w:r w:rsidR="0014083E">
        <w:t>to</w:t>
      </w:r>
      <w:r w:rsidR="00620461">
        <w:t xml:space="preserve"> children and the aged, as well as to be fit-for-purpose for modeling. </w:t>
      </w:r>
    </w:p>
    <w:p w:rsidR="00A47780" w:rsidRDefault="00A47780" w:rsidP="00A47780">
      <w:r>
        <w:t xml:space="preserve">SEIFI has the potential to strengthen the ability of ACT Government and community organisations to more effectively and efficiently provide targeted, integrated services that best address the needs of the vulnerable and disadvantaged individuals and families in the ACT. Due to certain methodological limitations, such as </w:t>
      </w:r>
      <w:proofErr w:type="gramStart"/>
      <w:r>
        <w:t>the  exclusion</w:t>
      </w:r>
      <w:proofErr w:type="gramEnd"/>
      <w:r>
        <w:t xml:space="preserve"> of children and the aged and the introduction of the new Census geography, SEIFI requires ongoing development. The</w:t>
      </w:r>
      <w:r w:rsidRPr="00D1601B">
        <w:t xml:space="preserve"> </w:t>
      </w:r>
      <w:r>
        <w:t xml:space="preserve">ACT Government should work closely with the Australian Bureau of Statistics to support the construction of SEIFI using data from the 2011 Census and to consult on its design to ensure it is fit-for-purpose. The ACT Government </w:t>
      </w:r>
      <w:r w:rsidR="00C83747">
        <w:t>will</w:t>
      </w:r>
      <w:r>
        <w:t xml:space="preserve"> also encourage further research with the SEIFI indexes and champion their use as a more appropriate alternative wherever SEIFA is applied as a proxy to inform policy making and funding decisions in the ACT. </w:t>
      </w:r>
    </w:p>
    <w:p w:rsidR="00C45C28" w:rsidRDefault="00C45C28">
      <w:pPr>
        <w:rPr>
          <w:rFonts w:eastAsiaTheme="majorEastAsia" w:cstheme="majorBidi"/>
          <w:bCs/>
          <w:caps/>
          <w:color w:val="215868" w:themeColor="accent5" w:themeShade="80"/>
          <w:sz w:val="28"/>
          <w:szCs w:val="28"/>
        </w:rPr>
      </w:pPr>
      <w:r>
        <w:br w:type="page"/>
      </w:r>
    </w:p>
    <w:p w:rsidR="00FA2FFE" w:rsidRDefault="00D849F2" w:rsidP="00F81334">
      <w:pPr>
        <w:pStyle w:val="Heading1"/>
      </w:pPr>
      <w:bookmarkStart w:id="13" w:name="_Toc358033187"/>
      <w:r>
        <w:lastRenderedPageBreak/>
        <w:t xml:space="preserve">Section 1: </w:t>
      </w:r>
      <w:r w:rsidR="00FA2FFE">
        <w:t>Background and Rationale</w:t>
      </w:r>
      <w:bookmarkEnd w:id="13"/>
    </w:p>
    <w:p w:rsidR="002F27CD" w:rsidRDefault="0043713B" w:rsidP="006C61E1">
      <w:pPr>
        <w:pStyle w:val="Heading2"/>
      </w:pPr>
      <w:bookmarkStart w:id="14" w:name="_Toc358033188"/>
      <w:r>
        <w:t>SEIFA and</w:t>
      </w:r>
      <w:r w:rsidR="002F27CD">
        <w:t xml:space="preserve"> </w:t>
      </w:r>
      <w:r w:rsidR="002F27CD" w:rsidRPr="006C61E1">
        <w:t>SEIFI</w:t>
      </w:r>
      <w:bookmarkEnd w:id="14"/>
    </w:p>
    <w:p w:rsidR="00AB5BD5" w:rsidRDefault="00C72287" w:rsidP="00AB5BD5">
      <w:r>
        <w:t>The Socio-Economic Indexes for Individuals (SEIFI) consist of two in</w:t>
      </w:r>
      <w:r w:rsidR="002619E0">
        <w:t>dexes that were created as an experimental alternative to the widely established and long-standing Socio-Econ</w:t>
      </w:r>
      <w:r w:rsidR="004012B4">
        <w:t xml:space="preserve">omic Indexes for Areas (SEIFA), which are </w:t>
      </w:r>
      <w:r w:rsidR="00D202A6">
        <w:t xml:space="preserve">broadly </w:t>
      </w:r>
      <w:r w:rsidR="004012B4">
        <w:t>used as measures of relative socio</w:t>
      </w:r>
      <w:r w:rsidR="000B2E3C">
        <w:t>-</w:t>
      </w:r>
      <w:r w:rsidR="004012B4">
        <w:t xml:space="preserve">economic disadvantage across Australia. </w:t>
      </w:r>
      <w:r w:rsidR="00096AB9">
        <w:t>The</w:t>
      </w:r>
      <w:r w:rsidR="0025332C">
        <w:t>se</w:t>
      </w:r>
      <w:r w:rsidR="00096AB9">
        <w:t xml:space="preserve"> indexes were developed by the Australian Bureau of Statistics (ABS) using data on </w:t>
      </w:r>
      <w:r w:rsidR="002551A8">
        <w:t xml:space="preserve">variables such as </w:t>
      </w:r>
      <w:r w:rsidR="00096AB9">
        <w:t>income, employment,</w:t>
      </w:r>
      <w:r w:rsidR="002D2447">
        <w:t xml:space="preserve"> occupation,</w:t>
      </w:r>
      <w:r w:rsidR="0025332C">
        <w:t xml:space="preserve"> education, and housing </w:t>
      </w:r>
      <w:r w:rsidR="00096AB9">
        <w:t xml:space="preserve">from the Australian Census of Population and Housing. The indexes reduce relevant </w:t>
      </w:r>
      <w:r w:rsidR="002551A8">
        <w:t>data</w:t>
      </w:r>
      <w:r w:rsidR="00096AB9">
        <w:t xml:space="preserve"> for each </w:t>
      </w:r>
      <w:r w:rsidR="005D0C34">
        <w:t xml:space="preserve">individual or </w:t>
      </w:r>
      <w:r w:rsidR="00763FC8">
        <w:t>geographic area</w:t>
      </w:r>
      <w:r w:rsidR="00096AB9">
        <w:t xml:space="preserve"> into a </w:t>
      </w:r>
      <w:r w:rsidR="00B12DEE">
        <w:t xml:space="preserve">score </w:t>
      </w:r>
      <w:r w:rsidR="002551A8">
        <w:t xml:space="preserve">that </w:t>
      </w:r>
      <w:r w:rsidR="00B12DEE">
        <w:t>represents the</w:t>
      </w:r>
      <w:r w:rsidR="006A77E4">
        <w:t xml:space="preserve"> </w:t>
      </w:r>
      <w:r w:rsidR="002551A8">
        <w:t xml:space="preserve">level of </w:t>
      </w:r>
      <w:r w:rsidR="00096AB9">
        <w:t>relative access t</w:t>
      </w:r>
      <w:r w:rsidR="00763FC8">
        <w:t>o material and social resources</w:t>
      </w:r>
      <w:r w:rsidR="00CD2FBC">
        <w:t xml:space="preserve">, </w:t>
      </w:r>
      <w:r w:rsidR="00A60125">
        <w:t xml:space="preserve">where the lack of such access creates relative </w:t>
      </w:r>
      <w:r w:rsidR="00CD2FBC">
        <w:t xml:space="preserve">socio-economic disadvantage. </w:t>
      </w:r>
      <w:r w:rsidR="006B5AB8">
        <w:t xml:space="preserve">In contrast to using </w:t>
      </w:r>
      <w:r w:rsidR="00C9155D">
        <w:t xml:space="preserve">single </w:t>
      </w:r>
      <w:r w:rsidR="006B5AB8">
        <w:t xml:space="preserve">indicators such as income or employment status, multi-dimensional </w:t>
      </w:r>
      <w:r w:rsidR="00325405">
        <w:t>i</w:t>
      </w:r>
      <w:r w:rsidR="00675FBC">
        <w:t xml:space="preserve">ndicators </w:t>
      </w:r>
      <w:r w:rsidR="007F4F48">
        <w:t xml:space="preserve">of socio-economic </w:t>
      </w:r>
      <w:r w:rsidR="00C62967">
        <w:t>status</w:t>
      </w:r>
      <w:r w:rsidR="007F4F48">
        <w:t xml:space="preserve"> such as SEIFA and SEIFI more </w:t>
      </w:r>
      <w:r w:rsidR="00325405">
        <w:t>accurately</w:t>
      </w:r>
      <w:r w:rsidR="007F4F48">
        <w:t xml:space="preserve"> capture </w:t>
      </w:r>
      <w:r w:rsidR="00F85A82">
        <w:t xml:space="preserve">the </w:t>
      </w:r>
      <w:r w:rsidR="00D72044">
        <w:t xml:space="preserve">complex </w:t>
      </w:r>
      <w:r w:rsidR="00AB5BD5">
        <w:t>personal and environmental c</w:t>
      </w:r>
      <w:r w:rsidR="00D72044">
        <w:t xml:space="preserve">ircumstances that </w:t>
      </w:r>
      <w:r w:rsidR="00AB5BD5">
        <w:t xml:space="preserve">interact to </w:t>
      </w:r>
      <w:r w:rsidR="00D72044">
        <w:t>determine relative advantage or disadvantage</w:t>
      </w:r>
      <w:r w:rsidR="001D038A" w:rsidRPr="001D038A">
        <w:rPr>
          <w:vertAlign w:val="superscript"/>
        </w:rPr>
        <w:t>1</w:t>
      </w:r>
      <w:r w:rsidR="00D72044">
        <w:t xml:space="preserve">. </w:t>
      </w:r>
    </w:p>
    <w:p w:rsidR="004F244C" w:rsidRPr="00A27B2A" w:rsidRDefault="004F244C" w:rsidP="000D2CDA">
      <w:pPr>
        <w:pStyle w:val="CommentText"/>
        <w:tabs>
          <w:tab w:val="left" w:pos="426"/>
        </w:tabs>
        <w:spacing w:line="276" w:lineRule="auto"/>
        <w:rPr>
          <w:sz w:val="22"/>
          <w:szCs w:val="22"/>
        </w:rPr>
      </w:pPr>
      <w:r w:rsidRPr="00A27B2A">
        <w:rPr>
          <w:sz w:val="22"/>
          <w:szCs w:val="22"/>
        </w:rPr>
        <w:t>Area-level and individual-level socio-economic disadvantage are interrelated but distinct concepts</w:t>
      </w:r>
      <w:r w:rsidR="00431ED3" w:rsidRPr="00A27B2A">
        <w:rPr>
          <w:sz w:val="22"/>
          <w:szCs w:val="22"/>
        </w:rPr>
        <w:t xml:space="preserve">, </w:t>
      </w:r>
      <w:r w:rsidR="00134953">
        <w:rPr>
          <w:sz w:val="22"/>
          <w:szCs w:val="22"/>
        </w:rPr>
        <w:t>and thus are measured differently. The features</w:t>
      </w:r>
      <w:r w:rsidR="00431ED3" w:rsidRPr="00A27B2A">
        <w:rPr>
          <w:sz w:val="22"/>
          <w:szCs w:val="22"/>
        </w:rPr>
        <w:t xml:space="preserve"> of </w:t>
      </w:r>
      <w:r w:rsidR="00A27B2A">
        <w:rPr>
          <w:sz w:val="22"/>
          <w:szCs w:val="22"/>
        </w:rPr>
        <w:t>an</w:t>
      </w:r>
      <w:r w:rsidR="00431ED3" w:rsidRPr="00A27B2A">
        <w:rPr>
          <w:sz w:val="22"/>
          <w:szCs w:val="22"/>
        </w:rPr>
        <w:t xml:space="preserve"> area impact the socio-economic status </w:t>
      </w:r>
      <w:r w:rsidR="00134953">
        <w:rPr>
          <w:sz w:val="22"/>
          <w:szCs w:val="22"/>
        </w:rPr>
        <w:t xml:space="preserve">(SES) </w:t>
      </w:r>
      <w:r w:rsidR="00431ED3" w:rsidRPr="00A27B2A">
        <w:rPr>
          <w:sz w:val="22"/>
          <w:szCs w:val="22"/>
        </w:rPr>
        <w:t xml:space="preserve">of </w:t>
      </w:r>
      <w:r w:rsidR="00BE23CA">
        <w:rPr>
          <w:sz w:val="22"/>
          <w:szCs w:val="22"/>
        </w:rPr>
        <w:t>the individuals living there</w:t>
      </w:r>
      <w:r w:rsidR="0058591E">
        <w:rPr>
          <w:sz w:val="22"/>
          <w:szCs w:val="22"/>
        </w:rPr>
        <w:t>, but t</w:t>
      </w:r>
      <w:r w:rsidR="00211462">
        <w:rPr>
          <w:sz w:val="22"/>
          <w:szCs w:val="22"/>
        </w:rPr>
        <w:t>he reverse is also true</w:t>
      </w:r>
      <w:r w:rsidR="00564815">
        <w:rPr>
          <w:sz w:val="22"/>
          <w:szCs w:val="22"/>
        </w:rPr>
        <w:t>, and m</w:t>
      </w:r>
      <w:r w:rsidRPr="00A27B2A">
        <w:rPr>
          <w:sz w:val="22"/>
          <w:szCs w:val="22"/>
        </w:rPr>
        <w:t xml:space="preserve">any </w:t>
      </w:r>
      <w:r w:rsidR="00211462">
        <w:rPr>
          <w:sz w:val="22"/>
          <w:szCs w:val="22"/>
        </w:rPr>
        <w:t xml:space="preserve">individual-level </w:t>
      </w:r>
      <w:r w:rsidRPr="00A27B2A">
        <w:rPr>
          <w:sz w:val="22"/>
          <w:szCs w:val="22"/>
        </w:rPr>
        <w:t xml:space="preserve">factors are </w:t>
      </w:r>
      <w:r w:rsidR="00BE23CA">
        <w:rPr>
          <w:sz w:val="22"/>
          <w:szCs w:val="22"/>
        </w:rPr>
        <w:t xml:space="preserve">strongly </w:t>
      </w:r>
      <w:r w:rsidRPr="00A27B2A">
        <w:rPr>
          <w:sz w:val="22"/>
          <w:szCs w:val="22"/>
        </w:rPr>
        <w:t>associated with disadvantage at both levels</w:t>
      </w:r>
      <w:r w:rsidR="00BE23CA">
        <w:rPr>
          <w:sz w:val="22"/>
          <w:szCs w:val="22"/>
        </w:rPr>
        <w:t xml:space="preserve">, </w:t>
      </w:r>
      <w:r w:rsidR="007D14A7">
        <w:rPr>
          <w:sz w:val="22"/>
          <w:szCs w:val="22"/>
        </w:rPr>
        <w:t xml:space="preserve">including </w:t>
      </w:r>
      <w:r w:rsidR="00BE23CA">
        <w:rPr>
          <w:sz w:val="22"/>
          <w:szCs w:val="22"/>
        </w:rPr>
        <w:t xml:space="preserve">household income, educational background, or </w:t>
      </w:r>
      <w:r w:rsidR="000D2CDA">
        <w:rPr>
          <w:sz w:val="22"/>
          <w:szCs w:val="22"/>
        </w:rPr>
        <w:t xml:space="preserve">housing </w:t>
      </w:r>
      <w:r w:rsidR="00BE23CA">
        <w:rPr>
          <w:sz w:val="22"/>
          <w:szCs w:val="22"/>
        </w:rPr>
        <w:t xml:space="preserve">status. </w:t>
      </w:r>
      <w:r w:rsidR="00992170">
        <w:rPr>
          <w:sz w:val="22"/>
          <w:szCs w:val="22"/>
        </w:rPr>
        <w:t>I</w:t>
      </w:r>
      <w:r w:rsidR="00211462">
        <w:rPr>
          <w:sz w:val="22"/>
          <w:szCs w:val="22"/>
        </w:rPr>
        <w:t xml:space="preserve">n addition to reflecting </w:t>
      </w:r>
      <w:r w:rsidR="007D14A7">
        <w:rPr>
          <w:sz w:val="22"/>
          <w:szCs w:val="22"/>
        </w:rPr>
        <w:t xml:space="preserve">the personal </w:t>
      </w:r>
      <w:r w:rsidR="00211462">
        <w:rPr>
          <w:sz w:val="22"/>
          <w:szCs w:val="22"/>
        </w:rPr>
        <w:t>at</w:t>
      </w:r>
      <w:r w:rsidR="007D14A7">
        <w:rPr>
          <w:sz w:val="22"/>
          <w:szCs w:val="22"/>
        </w:rPr>
        <w:t>tr</w:t>
      </w:r>
      <w:r w:rsidR="00211462">
        <w:rPr>
          <w:sz w:val="22"/>
          <w:szCs w:val="22"/>
        </w:rPr>
        <w:t>ibutes of the people living in an</w:t>
      </w:r>
      <w:r w:rsidR="007D14A7">
        <w:rPr>
          <w:sz w:val="22"/>
          <w:szCs w:val="22"/>
        </w:rPr>
        <w:t xml:space="preserve"> area,</w:t>
      </w:r>
      <w:r w:rsidR="00211462">
        <w:rPr>
          <w:sz w:val="22"/>
          <w:szCs w:val="22"/>
        </w:rPr>
        <w:t xml:space="preserve"> </w:t>
      </w:r>
      <w:r w:rsidR="00992170">
        <w:rPr>
          <w:sz w:val="22"/>
          <w:szCs w:val="22"/>
        </w:rPr>
        <w:t xml:space="preserve">however, </w:t>
      </w:r>
      <w:r w:rsidR="00211462">
        <w:rPr>
          <w:sz w:val="22"/>
          <w:szCs w:val="22"/>
        </w:rPr>
        <w:t xml:space="preserve">area-level </w:t>
      </w:r>
      <w:r w:rsidR="00F67161">
        <w:rPr>
          <w:sz w:val="22"/>
          <w:szCs w:val="22"/>
        </w:rPr>
        <w:t xml:space="preserve">measures of relative </w:t>
      </w:r>
      <w:r w:rsidR="00211462">
        <w:rPr>
          <w:sz w:val="22"/>
          <w:szCs w:val="22"/>
        </w:rPr>
        <w:t>disadvantage</w:t>
      </w:r>
      <w:r w:rsidR="008C6697">
        <w:rPr>
          <w:sz w:val="22"/>
          <w:szCs w:val="22"/>
        </w:rPr>
        <w:t xml:space="preserve"> also consider</w:t>
      </w:r>
      <w:r w:rsidR="00F67161">
        <w:rPr>
          <w:sz w:val="22"/>
          <w:szCs w:val="22"/>
        </w:rPr>
        <w:t xml:space="preserve"> the accessibility of </w:t>
      </w:r>
      <w:r w:rsidR="008C6697">
        <w:rPr>
          <w:sz w:val="22"/>
          <w:szCs w:val="22"/>
        </w:rPr>
        <w:t>social and public resources</w:t>
      </w:r>
      <w:r w:rsidR="00F67161">
        <w:rPr>
          <w:sz w:val="22"/>
          <w:szCs w:val="22"/>
        </w:rPr>
        <w:t xml:space="preserve"> and the characteristics </w:t>
      </w:r>
      <w:r w:rsidR="00951192">
        <w:rPr>
          <w:sz w:val="22"/>
          <w:szCs w:val="22"/>
        </w:rPr>
        <w:t xml:space="preserve">of an area </w:t>
      </w:r>
      <w:r w:rsidR="00F67161">
        <w:rPr>
          <w:sz w:val="22"/>
          <w:szCs w:val="22"/>
        </w:rPr>
        <w:t>that limit the ability of its residents to participate fully in society</w:t>
      </w:r>
      <w:r w:rsidR="00951192">
        <w:rPr>
          <w:sz w:val="22"/>
          <w:szCs w:val="22"/>
        </w:rPr>
        <w:t xml:space="preserve">. This might include the availability </w:t>
      </w:r>
      <w:r w:rsidR="00DB4F77">
        <w:rPr>
          <w:sz w:val="22"/>
          <w:szCs w:val="22"/>
        </w:rPr>
        <w:t>of employment</w:t>
      </w:r>
      <w:r w:rsidR="008C6697">
        <w:rPr>
          <w:sz w:val="22"/>
          <w:szCs w:val="22"/>
        </w:rPr>
        <w:t xml:space="preserve"> opportunities, educational facilities, affordable housing, or transport infrastructure</w:t>
      </w:r>
      <w:r w:rsidR="00951192">
        <w:rPr>
          <w:sz w:val="22"/>
          <w:szCs w:val="22"/>
        </w:rPr>
        <w:t xml:space="preserve">, as well as </w:t>
      </w:r>
      <w:r w:rsidR="0046439A">
        <w:rPr>
          <w:sz w:val="22"/>
          <w:szCs w:val="22"/>
        </w:rPr>
        <w:t xml:space="preserve">a consideration of </w:t>
      </w:r>
      <w:r w:rsidR="00951192">
        <w:rPr>
          <w:sz w:val="22"/>
          <w:szCs w:val="22"/>
        </w:rPr>
        <w:t>crime rates, level o</w:t>
      </w:r>
      <w:r w:rsidR="00564815">
        <w:rPr>
          <w:sz w:val="22"/>
          <w:szCs w:val="22"/>
        </w:rPr>
        <w:t>f</w:t>
      </w:r>
      <w:r w:rsidR="00951192">
        <w:rPr>
          <w:sz w:val="22"/>
          <w:szCs w:val="22"/>
        </w:rPr>
        <w:t xml:space="preserve"> social cohesion, </w:t>
      </w:r>
      <w:r w:rsidR="00564815">
        <w:rPr>
          <w:sz w:val="22"/>
          <w:szCs w:val="22"/>
        </w:rPr>
        <w:t xml:space="preserve">and the level of </w:t>
      </w:r>
      <w:r w:rsidR="00A31472">
        <w:rPr>
          <w:sz w:val="22"/>
          <w:szCs w:val="22"/>
        </w:rPr>
        <w:t xml:space="preserve">environmental </w:t>
      </w:r>
      <w:r w:rsidR="00951192">
        <w:rPr>
          <w:sz w:val="22"/>
          <w:szCs w:val="22"/>
        </w:rPr>
        <w:t>pollution in the area</w:t>
      </w:r>
      <w:r w:rsidR="00A31472">
        <w:rPr>
          <w:sz w:val="22"/>
          <w:szCs w:val="22"/>
        </w:rPr>
        <w:t>, among many other factors</w:t>
      </w:r>
      <w:r w:rsidR="001D038A">
        <w:rPr>
          <w:vertAlign w:val="superscript"/>
        </w:rPr>
        <w:t>2</w:t>
      </w:r>
      <w:r w:rsidR="008C6697">
        <w:rPr>
          <w:sz w:val="22"/>
          <w:szCs w:val="22"/>
        </w:rPr>
        <w:t xml:space="preserve">. </w:t>
      </w:r>
    </w:p>
    <w:p w:rsidR="00763FC8" w:rsidRDefault="00763FC8">
      <w:r>
        <w:t>In Australia, the SEIFA indexes are used</w:t>
      </w:r>
      <w:r w:rsidR="00D202A6">
        <w:t xml:space="preserve"> by</w:t>
      </w:r>
      <w:r>
        <w:t xml:space="preserve"> </w:t>
      </w:r>
      <w:r w:rsidR="000B2E3C">
        <w:t xml:space="preserve">Federal </w:t>
      </w:r>
      <w:r>
        <w:t xml:space="preserve">and </w:t>
      </w:r>
      <w:r w:rsidR="000B2E3C">
        <w:t xml:space="preserve">State and Territory </w:t>
      </w:r>
      <w:r>
        <w:t>governments, government agencies, and non-governmental organi</w:t>
      </w:r>
      <w:r w:rsidR="000B7903">
        <w:t>s</w:t>
      </w:r>
      <w:r>
        <w:t>ations to inform funding and service delivery decisions by providing contextual information about the average level of socio-economic disadvantage or advant</w:t>
      </w:r>
      <w:r w:rsidR="00C3101D">
        <w:t xml:space="preserve">age </w:t>
      </w:r>
      <w:r w:rsidR="0035719D">
        <w:t>in</w:t>
      </w:r>
      <w:r w:rsidR="00C3101D">
        <w:t xml:space="preserve"> a geographical area.</w:t>
      </w:r>
      <w:r w:rsidR="003E36E8">
        <w:t xml:space="preserve"> Socio-economic status is a key driver </w:t>
      </w:r>
      <w:r w:rsidR="00714B2B">
        <w:t>of cost for providing health, justice and safety, education, and other support services to a given area.</w:t>
      </w:r>
      <w:r w:rsidR="00C3101D">
        <w:t xml:space="preserve"> SEIFA is also used extensively in </w:t>
      </w:r>
      <w:r w:rsidR="0096019C">
        <w:t xml:space="preserve">economic and </w:t>
      </w:r>
      <w:r w:rsidR="007A75DA">
        <w:t xml:space="preserve">social </w:t>
      </w:r>
      <w:r w:rsidR="00C3101D">
        <w:t xml:space="preserve">research </w:t>
      </w:r>
      <w:r w:rsidR="00F750D3">
        <w:t>where the</w:t>
      </w:r>
      <w:r w:rsidR="007A75DA">
        <w:t xml:space="preserve"> socio</w:t>
      </w:r>
      <w:r w:rsidR="00D202A6">
        <w:t>-</w:t>
      </w:r>
      <w:r w:rsidR="007A75DA">
        <w:t>economic</w:t>
      </w:r>
      <w:r w:rsidR="00587CCF">
        <w:t xml:space="preserve"> </w:t>
      </w:r>
      <w:r w:rsidR="007A75DA">
        <w:t xml:space="preserve">status of </w:t>
      </w:r>
      <w:r w:rsidR="00587CCF">
        <w:t xml:space="preserve">an area is an environmental factor </w:t>
      </w:r>
      <w:r w:rsidR="00F750D3">
        <w:t xml:space="preserve">that has been </w:t>
      </w:r>
      <w:r w:rsidR="005E6192">
        <w:t xml:space="preserve">strongly </w:t>
      </w:r>
      <w:r w:rsidR="00F750D3">
        <w:t>associated with</w:t>
      </w:r>
      <w:r w:rsidR="00587CCF">
        <w:t xml:space="preserve"> </w:t>
      </w:r>
      <w:r w:rsidR="00B22AD9">
        <w:t xml:space="preserve">health and healthy behaviour, </w:t>
      </w:r>
      <w:r w:rsidR="005E6192">
        <w:t xml:space="preserve">as well as with </w:t>
      </w:r>
      <w:r w:rsidR="00B22AD9">
        <w:t>safety</w:t>
      </w:r>
      <w:r w:rsidR="005E6192">
        <w:t xml:space="preserve">, </w:t>
      </w:r>
      <w:r w:rsidR="00B22AD9">
        <w:t>social capital</w:t>
      </w:r>
      <w:r w:rsidR="005E6192">
        <w:t xml:space="preserve"> and capacity</w:t>
      </w:r>
      <w:r w:rsidR="00B22AD9">
        <w:t>,</w:t>
      </w:r>
      <w:r w:rsidR="005E6192">
        <w:t xml:space="preserve"> and </w:t>
      </w:r>
      <w:r w:rsidR="00B22AD9">
        <w:t xml:space="preserve">many other such outcomes. </w:t>
      </w:r>
    </w:p>
    <w:p w:rsidR="00983B54" w:rsidRDefault="00587CCF" w:rsidP="00983B54">
      <w:r>
        <w:t>Across Australia and in the Australian Capital Territory (ACT),</w:t>
      </w:r>
      <w:r w:rsidR="00B22AD9">
        <w:t xml:space="preserve"> the</w:t>
      </w:r>
      <w:r>
        <w:t xml:space="preserve"> SEIFA </w:t>
      </w:r>
      <w:r w:rsidR="00B22AD9">
        <w:t>indexes are</w:t>
      </w:r>
      <w:r>
        <w:t xml:space="preserve"> also frequently used as a proxy measure for the level of socio-economic </w:t>
      </w:r>
      <w:r w:rsidRPr="00660FF7">
        <w:t>disadvantage or advantage</w:t>
      </w:r>
      <w:r>
        <w:t xml:space="preserve"> experienced by an individual or </w:t>
      </w:r>
      <w:r w:rsidR="00992170">
        <w:t xml:space="preserve">population </w:t>
      </w:r>
      <w:r>
        <w:t>subgroup within an area</w:t>
      </w:r>
      <w:r w:rsidR="00D32371">
        <w:t xml:space="preserve">. In this context, </w:t>
      </w:r>
      <w:r>
        <w:t xml:space="preserve">SEIFA </w:t>
      </w:r>
      <w:r w:rsidR="00D32371">
        <w:t>can be</w:t>
      </w:r>
      <w:r>
        <w:t xml:space="preserve"> a valuable tool for </w:t>
      </w:r>
      <w:r w:rsidR="00F0760D">
        <w:t>representing</w:t>
      </w:r>
      <w:r>
        <w:t xml:space="preserve"> relative disadvantage</w:t>
      </w:r>
      <w:r w:rsidR="00D32371">
        <w:t xml:space="preserve"> as it</w:t>
      </w:r>
      <w:r w:rsidR="00F0760D">
        <w:t xml:space="preserve"> is readily available </w:t>
      </w:r>
      <w:r w:rsidR="004A53DE">
        <w:t xml:space="preserve">and </w:t>
      </w:r>
      <w:r w:rsidR="0096019C">
        <w:t xml:space="preserve">easily adaptable to </w:t>
      </w:r>
      <w:r w:rsidR="00D32371">
        <w:t xml:space="preserve">populations within an </w:t>
      </w:r>
      <w:r w:rsidR="0096019C">
        <w:t>area of interest</w:t>
      </w:r>
      <w:r w:rsidR="004A53DE">
        <w:t xml:space="preserve">. </w:t>
      </w:r>
      <w:r w:rsidR="00004075">
        <w:t xml:space="preserve">Unlike </w:t>
      </w:r>
      <w:r w:rsidR="00927925">
        <w:t xml:space="preserve">SEIFI, however, </w:t>
      </w:r>
      <w:r w:rsidR="00004075">
        <w:t>SEIFA is not designed to be an indivi</w:t>
      </w:r>
      <w:r w:rsidR="00927925">
        <w:t>dual level measure, and b</w:t>
      </w:r>
      <w:r w:rsidR="00983B54">
        <w:t xml:space="preserve">ecause of the diversity of individual </w:t>
      </w:r>
      <w:r w:rsidR="00123D70">
        <w:t xml:space="preserve">characteristics within a population, the </w:t>
      </w:r>
      <w:r w:rsidR="00983B54">
        <w:t xml:space="preserve">inferences made about </w:t>
      </w:r>
      <w:r w:rsidR="00983B54">
        <w:lastRenderedPageBreak/>
        <w:t>individuals and subgroups based on the averaged characteristics of the overall population in the area may be misleading, creating the potential for a type of misclassification error known as ecological fallacy</w:t>
      </w:r>
      <w:r w:rsidR="001D038A">
        <w:rPr>
          <w:vertAlign w:val="superscript"/>
        </w:rPr>
        <w:t>3</w:t>
      </w:r>
      <w:r w:rsidR="00983B54">
        <w:t xml:space="preserve">. </w:t>
      </w:r>
    </w:p>
    <w:p w:rsidR="00EA1063" w:rsidRDefault="00EA1063" w:rsidP="00EA1063">
      <w:r>
        <w:t xml:space="preserve">In their 2004 study, Kennedy and </w:t>
      </w:r>
      <w:proofErr w:type="spellStart"/>
      <w:r>
        <w:t>Firman</w:t>
      </w:r>
      <w:proofErr w:type="spellEnd"/>
      <w:r>
        <w:t xml:space="preserve"> reported that the assumption of homogenous populations at the small area level did not hold true for Indigenous populations across Australia, and that ecological fallacy </w:t>
      </w:r>
      <w:r w:rsidR="00AB2B29">
        <w:t>would be a</w:t>
      </w:r>
      <w:r>
        <w:t xml:space="preserve"> common problem when making assumptions about other small or marginalised subgroups of the Australian population</w:t>
      </w:r>
      <w:r w:rsidR="00AB2B29">
        <w:t xml:space="preserve"> based on SEIFA </w:t>
      </w:r>
      <w:r w:rsidR="005C109B">
        <w:t>index information</w:t>
      </w:r>
      <w:r>
        <w:t>.  This problem is compounded when SEIFA aggregates for larger geographic areas, such as Local Government Areas, are used</w:t>
      </w:r>
      <w:r w:rsidR="001D038A">
        <w:rPr>
          <w:vertAlign w:val="superscript"/>
        </w:rPr>
        <w:t>4</w:t>
      </w:r>
      <w:r>
        <w:t xml:space="preserve">. </w:t>
      </w:r>
    </w:p>
    <w:p w:rsidR="005C109B" w:rsidRDefault="004C6343">
      <w:r>
        <w:t>Drawing on th</w:t>
      </w:r>
      <w:r w:rsidR="00A63F78">
        <w:t>ese findings</w:t>
      </w:r>
      <w:r>
        <w:t xml:space="preserve">, </w:t>
      </w:r>
      <w:r w:rsidR="005C109B">
        <w:t xml:space="preserve">Baker and </w:t>
      </w:r>
      <w:proofErr w:type="spellStart"/>
      <w:r w:rsidR="005C109B">
        <w:t>Adhikari</w:t>
      </w:r>
      <w:proofErr w:type="spellEnd"/>
      <w:r w:rsidR="005C109B">
        <w:t xml:space="preserve"> (2007) constructed </w:t>
      </w:r>
      <w:r w:rsidR="00210189">
        <w:t xml:space="preserve">two new indexes </w:t>
      </w:r>
      <w:r w:rsidR="00B82EE0">
        <w:t>to</w:t>
      </w:r>
      <w:r w:rsidR="004B129C">
        <w:t xml:space="preserve"> measure</w:t>
      </w:r>
      <w:r w:rsidR="00210189">
        <w:t xml:space="preserve"> relative socio-economic disadvantage </w:t>
      </w:r>
      <w:r w:rsidR="004B129C">
        <w:t xml:space="preserve">at the </w:t>
      </w:r>
      <w:r w:rsidR="005C109B">
        <w:t>individual and family level</w:t>
      </w:r>
      <w:r w:rsidR="00B82EE0">
        <w:t>s</w:t>
      </w:r>
      <w:r w:rsidR="00B82EE0" w:rsidRPr="00B82EE0">
        <w:t xml:space="preserve"> </w:t>
      </w:r>
      <w:r w:rsidR="00B82EE0">
        <w:t>using data for Western Australia from the 2001 Census</w:t>
      </w:r>
      <w:r w:rsidR="004B129C">
        <w:t>.</w:t>
      </w:r>
      <w:r>
        <w:t xml:space="preserve"> F</w:t>
      </w:r>
      <w:r w:rsidR="005C109B">
        <w:t>rom their analysis</w:t>
      </w:r>
      <w:r>
        <w:t>,</w:t>
      </w:r>
      <w:r w:rsidR="005C109B">
        <w:t xml:space="preserve"> the</w:t>
      </w:r>
      <w:r w:rsidR="004B129C">
        <w:t xml:space="preserve"> authors</w:t>
      </w:r>
      <w:r w:rsidR="005C109B">
        <w:t xml:space="preserve"> concluded that there was significant diversity of individual- and family-level relative socio-economic disadvantage within </w:t>
      </w:r>
      <w:r w:rsidR="00712465">
        <w:t>geographic areas in WA</w:t>
      </w:r>
      <w:r w:rsidR="001D038A">
        <w:rPr>
          <w:vertAlign w:val="superscript"/>
        </w:rPr>
        <w:t>5</w:t>
      </w:r>
      <w:r w:rsidR="005C109B">
        <w:t xml:space="preserve">. </w:t>
      </w:r>
    </w:p>
    <w:p w:rsidR="00E12D9C" w:rsidRDefault="00C52B60">
      <w:r>
        <w:t xml:space="preserve">Wise and Mathews (2011) </w:t>
      </w:r>
      <w:r w:rsidR="000E13CC">
        <w:t xml:space="preserve">used the method developed by Baker and </w:t>
      </w:r>
      <w:proofErr w:type="spellStart"/>
      <w:r w:rsidR="000E13CC">
        <w:t>Adhikari</w:t>
      </w:r>
      <w:proofErr w:type="spellEnd"/>
      <w:r w:rsidR="000E13CC">
        <w:t xml:space="preserve"> (2007)</w:t>
      </w:r>
      <w:r w:rsidR="00DD555A">
        <w:t xml:space="preserve"> to create an individual-</w:t>
      </w:r>
      <w:r w:rsidR="00AC1982">
        <w:t xml:space="preserve">level </w:t>
      </w:r>
      <w:r w:rsidR="00DD555A">
        <w:t>I</w:t>
      </w:r>
      <w:r w:rsidR="00AC1982">
        <w:t xml:space="preserve">ndex of </w:t>
      </w:r>
      <w:r w:rsidR="00DD555A">
        <w:t>Socio-economic D</w:t>
      </w:r>
      <w:r w:rsidR="00AC1982">
        <w:t xml:space="preserve">isadvantage (SEIFI IRSD) and </w:t>
      </w:r>
      <w:r w:rsidR="00DD555A">
        <w:t>an individual-</w:t>
      </w:r>
      <w:r w:rsidR="00AC1982">
        <w:t xml:space="preserve">level </w:t>
      </w:r>
      <w:r w:rsidR="00DD555A">
        <w:t xml:space="preserve">Index </w:t>
      </w:r>
      <w:r w:rsidR="00AC1982">
        <w:t xml:space="preserve">of </w:t>
      </w:r>
      <w:r w:rsidR="00DD555A">
        <w:t>Socio-economic A</w:t>
      </w:r>
      <w:r w:rsidR="00AC1982">
        <w:t xml:space="preserve">dvantage and </w:t>
      </w:r>
      <w:r w:rsidR="00DD555A">
        <w:t>D</w:t>
      </w:r>
      <w:r w:rsidR="00AC1982">
        <w:t>isadvantage (SEIFI IRSAD) using 2006 Census data for</w:t>
      </w:r>
      <w:r w:rsidR="00790FE0">
        <w:t xml:space="preserve"> the entire </w:t>
      </w:r>
      <w:r w:rsidR="00AC1982">
        <w:t xml:space="preserve">Australian </w:t>
      </w:r>
      <w:r w:rsidR="00790FE0">
        <w:t>population</w:t>
      </w:r>
      <w:r w:rsidR="00B82EE0">
        <w:t>. R</w:t>
      </w:r>
      <w:r w:rsidR="00790FE0">
        <w:t xml:space="preserve">esults </w:t>
      </w:r>
      <w:r w:rsidR="00B82EE0">
        <w:t xml:space="preserve">were analysed </w:t>
      </w:r>
      <w:r w:rsidR="00790FE0">
        <w:t>at the state</w:t>
      </w:r>
      <w:r w:rsidR="00B82EE0">
        <w:t xml:space="preserve"> and </w:t>
      </w:r>
      <w:r w:rsidR="00790FE0">
        <w:t>territory level</w:t>
      </w:r>
      <w:r w:rsidR="00B82EE0">
        <w:t>s</w:t>
      </w:r>
      <w:r w:rsidR="00AC1982">
        <w:t>.</w:t>
      </w:r>
      <w:r w:rsidR="00045525">
        <w:t xml:space="preserve"> This project was initiated by the ACT Government who provided funding to the ABS through the Annual Statistics Consultancy Fund (ASCF). </w:t>
      </w:r>
      <w:r w:rsidR="000C6657">
        <w:t xml:space="preserve">From the SEIFI IRSD and SEIFI IRSAD results, </w:t>
      </w:r>
      <w:r w:rsidR="00622DB0">
        <w:t>Wise and Mathews</w:t>
      </w:r>
      <w:r w:rsidR="00AF6A32">
        <w:t xml:space="preserve"> determined that</w:t>
      </w:r>
      <w:r w:rsidR="00940E25">
        <w:t>,</w:t>
      </w:r>
      <w:r w:rsidR="0020583F">
        <w:t xml:space="preserve"> for most geographic </w:t>
      </w:r>
      <w:r w:rsidR="00A92101">
        <w:t>units</w:t>
      </w:r>
      <w:r w:rsidR="00940E25">
        <w:t xml:space="preserve"> in Australia,</w:t>
      </w:r>
      <w:r w:rsidR="00A92101">
        <w:t xml:space="preserve"> the</w:t>
      </w:r>
      <w:r w:rsidR="000C6657">
        <w:t xml:space="preserve"> relative </w:t>
      </w:r>
      <w:r w:rsidR="00AF6A32">
        <w:t>disadvantage</w:t>
      </w:r>
      <w:r w:rsidR="0020583F">
        <w:t xml:space="preserve"> </w:t>
      </w:r>
      <w:r w:rsidR="00E12D9C">
        <w:t>of individuals</w:t>
      </w:r>
      <w:r w:rsidR="004F01A8">
        <w:t xml:space="preserve"> is</w:t>
      </w:r>
      <w:r w:rsidR="0020583F">
        <w:t xml:space="preserve"> generally consistent with the SEIFA </w:t>
      </w:r>
      <w:proofErr w:type="spellStart"/>
      <w:r w:rsidR="0020583F">
        <w:t>decile</w:t>
      </w:r>
      <w:proofErr w:type="spellEnd"/>
      <w:r w:rsidR="0020583F">
        <w:t xml:space="preserve"> score for </w:t>
      </w:r>
      <w:r w:rsidR="00940E25">
        <w:t>their residential</w:t>
      </w:r>
      <w:r w:rsidR="0020583F">
        <w:t xml:space="preserve"> area</w:t>
      </w:r>
      <w:r w:rsidR="002E224C">
        <w:t xml:space="preserve">, </w:t>
      </w:r>
      <w:r w:rsidR="005071E5">
        <w:t xml:space="preserve">and </w:t>
      </w:r>
      <w:r w:rsidR="00496E24">
        <w:t xml:space="preserve">emphasised the advantages of SEIFA when </w:t>
      </w:r>
      <w:r w:rsidR="004F01A8">
        <w:t xml:space="preserve">used </w:t>
      </w:r>
      <w:r w:rsidR="00E12D9C">
        <w:t xml:space="preserve">appropriately </w:t>
      </w:r>
      <w:r w:rsidR="004F01A8">
        <w:t xml:space="preserve">as an </w:t>
      </w:r>
      <w:r w:rsidR="00E12D9C">
        <w:t xml:space="preserve">area-level </w:t>
      </w:r>
      <w:r w:rsidR="004F01A8">
        <w:t>measure</w:t>
      </w:r>
      <w:r w:rsidR="001D038A">
        <w:rPr>
          <w:vertAlign w:val="superscript"/>
        </w:rPr>
        <w:t>6</w:t>
      </w:r>
      <w:r w:rsidR="005071E5">
        <w:t xml:space="preserve">. </w:t>
      </w:r>
    </w:p>
    <w:p w:rsidR="00511213" w:rsidRDefault="002E33F7">
      <w:r>
        <w:t>The SEIFI IRSD and SEIFI IRSAD results also showed</w:t>
      </w:r>
      <w:r w:rsidR="00D8645F">
        <w:t>, however,</w:t>
      </w:r>
      <w:r w:rsidR="008918E2">
        <w:t xml:space="preserve"> that </w:t>
      </w:r>
      <w:r w:rsidR="001A33E5">
        <w:t>many</w:t>
      </w:r>
      <w:r w:rsidR="00D8645F">
        <w:t xml:space="preserve"> Australians</w:t>
      </w:r>
      <w:r w:rsidR="001A33E5">
        <w:t xml:space="preserve"> who</w:t>
      </w:r>
      <w:r w:rsidR="005609BC">
        <w:t xml:space="preserve"> liv</w:t>
      </w:r>
      <w:r w:rsidR="001A33E5">
        <w:t>e</w:t>
      </w:r>
      <w:r w:rsidR="005609BC">
        <w:t xml:space="preserve"> in areas</w:t>
      </w:r>
      <w:r w:rsidR="004E5CE0">
        <w:t xml:space="preserve"> with </w:t>
      </w:r>
      <w:r w:rsidR="008B0640">
        <w:t>low</w:t>
      </w:r>
      <w:r w:rsidR="001A33E5">
        <w:t xml:space="preserve"> socio-economic </w:t>
      </w:r>
      <w:r w:rsidR="004E5CE0">
        <w:t xml:space="preserve">disadvantage </w:t>
      </w:r>
      <w:r w:rsidR="001A33E5">
        <w:t xml:space="preserve">overall </w:t>
      </w:r>
      <w:r w:rsidR="008B0640">
        <w:t xml:space="preserve">actually </w:t>
      </w:r>
      <w:r w:rsidR="004E5CE0">
        <w:t xml:space="preserve">experience relatively </w:t>
      </w:r>
      <w:r w:rsidR="008B0640">
        <w:t>high</w:t>
      </w:r>
      <w:r w:rsidR="004E5CE0">
        <w:t xml:space="preserve"> disadvantage</w:t>
      </w:r>
      <w:r w:rsidR="001A33E5">
        <w:t xml:space="preserve"> at the individual level</w:t>
      </w:r>
      <w:r w:rsidR="00E12D9C">
        <w:t>, and vice versa</w:t>
      </w:r>
      <w:r w:rsidR="008B0640">
        <w:t>. According to their study,</w:t>
      </w:r>
      <w:r w:rsidR="005609BC">
        <w:t xml:space="preserve"> </w:t>
      </w:r>
      <w:r w:rsidR="009A56F6">
        <w:t xml:space="preserve">18% of persons </w:t>
      </w:r>
      <w:r w:rsidR="00A80396">
        <w:t xml:space="preserve">aged 15-64 </w:t>
      </w:r>
      <w:r w:rsidR="009A56F6">
        <w:t xml:space="preserve">living in </w:t>
      </w:r>
      <w:r w:rsidR="00FF0F12">
        <w:t xml:space="preserve">the least disadvantaged areas according to </w:t>
      </w:r>
      <w:r w:rsidR="009A56F6">
        <w:t xml:space="preserve">SEIFA </w:t>
      </w:r>
      <w:r w:rsidR="00A10263">
        <w:t xml:space="preserve">IRSD </w:t>
      </w:r>
      <w:r w:rsidR="00FF0F12" w:rsidRPr="009931E7">
        <w:t>actually</w:t>
      </w:r>
      <w:r w:rsidR="009A56F6" w:rsidRPr="009931E7">
        <w:t xml:space="preserve"> fall into</w:t>
      </w:r>
      <w:r w:rsidR="009A56F6">
        <w:t xml:space="preserve"> </w:t>
      </w:r>
      <w:r w:rsidR="00FF0F12">
        <w:t xml:space="preserve">the most disadvantaged </w:t>
      </w:r>
      <w:r w:rsidR="009931E7">
        <w:t>cohort of Australians</w:t>
      </w:r>
      <w:r w:rsidR="00FF0F12">
        <w:t xml:space="preserve"> acc</w:t>
      </w:r>
      <w:r w:rsidR="004F01A8">
        <w:t xml:space="preserve">ording to </w:t>
      </w:r>
      <w:r w:rsidR="009A56F6">
        <w:t>SEIFI IRSD</w:t>
      </w:r>
      <w:r w:rsidR="00FF0F12">
        <w:t xml:space="preserve">. </w:t>
      </w:r>
      <w:r w:rsidR="00A10263">
        <w:t>At the same time,</w:t>
      </w:r>
      <w:r w:rsidR="00FF0F12">
        <w:t xml:space="preserve"> </w:t>
      </w:r>
      <w:r w:rsidR="005609BC">
        <w:t xml:space="preserve">45% of </w:t>
      </w:r>
      <w:r w:rsidR="008B0640">
        <w:t>Australians</w:t>
      </w:r>
      <w:r w:rsidR="00A80396">
        <w:t xml:space="preserve"> aged 15-64</w:t>
      </w:r>
      <w:r w:rsidR="008B0640">
        <w:t xml:space="preserve"> </w:t>
      </w:r>
      <w:r w:rsidR="005609BC">
        <w:t xml:space="preserve">living in </w:t>
      </w:r>
      <w:r w:rsidR="00FB05E8">
        <w:t>areas</w:t>
      </w:r>
      <w:r w:rsidR="008B0640">
        <w:t xml:space="preserve"> classed</w:t>
      </w:r>
      <w:r w:rsidR="00FF0F12">
        <w:t xml:space="preserve"> by SEIFA IRSD</w:t>
      </w:r>
      <w:r w:rsidR="008B0640">
        <w:t xml:space="preserve"> </w:t>
      </w:r>
      <w:r w:rsidR="00FF0F12">
        <w:t xml:space="preserve">as highly disadvantaged </w:t>
      </w:r>
      <w:r w:rsidR="009931E7">
        <w:t>actually experience little to no relative socio-economic disadvantage when assessed by the SEIFI IRSD</w:t>
      </w:r>
      <w:r w:rsidR="001D038A">
        <w:rPr>
          <w:vertAlign w:val="superscript"/>
        </w:rPr>
        <w:t>7</w:t>
      </w:r>
      <w:r w:rsidR="00FB05E8">
        <w:t xml:space="preserve">. </w:t>
      </w:r>
    </w:p>
    <w:p w:rsidR="00F502FB" w:rsidRDefault="007B113A" w:rsidP="006C61E1">
      <w:pPr>
        <w:pStyle w:val="Heading2"/>
      </w:pPr>
      <w:bookmarkStart w:id="15" w:name="_Toc358033189"/>
      <w:r>
        <w:t xml:space="preserve">The </w:t>
      </w:r>
      <w:r w:rsidR="00F339AF">
        <w:t xml:space="preserve">ACT </w:t>
      </w:r>
      <w:r>
        <w:t>SEIFI Analysis Project</w:t>
      </w:r>
      <w:bookmarkEnd w:id="15"/>
    </w:p>
    <w:p w:rsidR="000E0298" w:rsidRDefault="000E0298" w:rsidP="00643554">
      <w:r>
        <w:t xml:space="preserve">Following the allocation of the 2009 Annual Statistical Consultancy funds to the development and production of SEIFI the ACT Government has furthered its research into SEIFI in partnership with the ABS.  This further analysis has been funded by ACT Chief Minister and Cabinet, Health, Education, Justice and Community </w:t>
      </w:r>
      <w:proofErr w:type="gramStart"/>
      <w:r>
        <w:t>Safety  Directorates</w:t>
      </w:r>
      <w:proofErr w:type="gramEnd"/>
      <w:r>
        <w:t xml:space="preserve"> and lead by the Community Services Directorate.</w:t>
      </w:r>
    </w:p>
    <w:p w:rsidR="006C61E1" w:rsidRDefault="00633988" w:rsidP="00643554">
      <w:r>
        <w:t xml:space="preserve">When comparing between Australian jurisdictions at the </w:t>
      </w:r>
      <w:r w:rsidR="00733E8D">
        <w:t>state or t</w:t>
      </w:r>
      <w:r>
        <w:t>erritory level, the overall trends observed in the SEIFI data are</w:t>
      </w:r>
      <w:r w:rsidR="00C56634">
        <w:t xml:space="preserve">, in many respects, </w:t>
      </w:r>
      <w:r>
        <w:t xml:space="preserve">consistent with those observed in the SEIFA data. </w:t>
      </w:r>
      <w:r w:rsidR="00C56634">
        <w:t xml:space="preserve">The Australian Capital Territory enjoys a great degree of relative advantage; </w:t>
      </w:r>
      <w:r w:rsidR="00733E8D">
        <w:t xml:space="preserve">among the states and </w:t>
      </w:r>
      <w:r w:rsidR="00733E8D">
        <w:lastRenderedPageBreak/>
        <w:t xml:space="preserve">territories, </w:t>
      </w:r>
      <w:r w:rsidR="003B5D7C">
        <w:t>the ACT has the lowest proportion of individuals experiencing high</w:t>
      </w:r>
      <w:r w:rsidR="007D09B9">
        <w:t xml:space="preserve"> </w:t>
      </w:r>
      <w:r w:rsidR="003B5D7C">
        <w:t xml:space="preserve">levels of relative socio-economic disadvantage </w:t>
      </w:r>
      <w:r w:rsidR="007D09B9">
        <w:t>and also the highest proportion of individuals experiencing little or no relative disadvantage</w:t>
      </w:r>
      <w:r w:rsidR="00037A4C">
        <w:t xml:space="preserve">, as described in </w:t>
      </w:r>
      <w:r w:rsidR="00037A4C" w:rsidRPr="001F7B92">
        <w:rPr>
          <w:b/>
        </w:rPr>
        <w:t>Table 1</w:t>
      </w:r>
      <w:r w:rsidR="00037A4C">
        <w:t xml:space="preserve"> below</w:t>
      </w:r>
      <w:r w:rsidR="00E12B26">
        <w:t>.</w:t>
      </w:r>
      <w:r w:rsidR="00E77157">
        <w:t xml:space="preserve"> </w:t>
      </w:r>
    </w:p>
    <w:tbl>
      <w:tblPr>
        <w:tblStyle w:val="MediumList1-Accent5"/>
        <w:tblpPr w:leftFromText="180" w:rightFromText="180" w:vertAnchor="text" w:horzAnchor="margin" w:tblpY="735"/>
        <w:tblW w:w="9464" w:type="dxa"/>
        <w:tblLook w:val="06A0"/>
      </w:tblPr>
      <w:tblGrid>
        <w:gridCol w:w="1526"/>
        <w:gridCol w:w="882"/>
        <w:gridCol w:w="882"/>
        <w:gridCol w:w="882"/>
        <w:gridCol w:w="882"/>
        <w:gridCol w:w="882"/>
        <w:gridCol w:w="882"/>
        <w:gridCol w:w="882"/>
        <w:gridCol w:w="882"/>
        <w:gridCol w:w="882"/>
      </w:tblGrid>
      <w:tr w:rsidR="006B0811" w:rsidTr="00B2600D">
        <w:trPr>
          <w:cnfStyle w:val="100000000000"/>
        </w:trPr>
        <w:tc>
          <w:tcPr>
            <w:cnfStyle w:val="001000000000"/>
            <w:tcW w:w="1526" w:type="dxa"/>
            <w:tcBorders>
              <w:top w:val="single" w:sz="4" w:space="0" w:color="4BACC6" w:themeColor="accent5"/>
              <w:left w:val="single" w:sz="4" w:space="0" w:color="4BACC6" w:themeColor="accent5"/>
              <w:right w:val="single" w:sz="4" w:space="0" w:color="4BACC6" w:themeColor="accent5"/>
            </w:tcBorders>
          </w:tcPr>
          <w:p w:rsidR="006B0811" w:rsidRPr="00C17329" w:rsidRDefault="006B0811" w:rsidP="006B0811">
            <w:pPr>
              <w:jc w:val="center"/>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 xml:space="preserve">SEIFI IRSD Group </w:t>
            </w:r>
            <w:r w:rsidRPr="00992A6A">
              <w:rPr>
                <w:rFonts w:asciiTheme="minorHAnsi" w:hAnsiTheme="minorHAnsi" w:cstheme="minorHAnsi"/>
                <w:b w:val="0"/>
                <w:color w:val="244061" w:themeColor="accent1" w:themeShade="80"/>
                <w:sz w:val="16"/>
                <w:szCs w:val="16"/>
              </w:rPr>
              <w:t>(a)(b)</w:t>
            </w:r>
          </w:p>
        </w:tc>
        <w:tc>
          <w:tcPr>
            <w:tcW w:w="882" w:type="dxa"/>
            <w:tcBorders>
              <w:top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NSW</w:t>
            </w:r>
          </w:p>
        </w:tc>
        <w:tc>
          <w:tcPr>
            <w:tcW w:w="882" w:type="dxa"/>
            <w:tcBorders>
              <w:top w:val="single" w:sz="4" w:space="0" w:color="4BACC6" w:themeColor="accent5"/>
            </w:tcBorders>
            <w:vAlign w:val="center"/>
          </w:tcPr>
          <w:p w:rsidR="006B0811" w:rsidRPr="00C17329" w:rsidRDefault="00C17329" w:rsidP="006B0811">
            <w:pPr>
              <w:jc w:val="center"/>
              <w:cnfStyle w:val="100000000000"/>
              <w:rPr>
                <w:rFonts w:asciiTheme="minorHAnsi" w:hAnsiTheme="minorHAnsi" w:cstheme="minorHAnsi"/>
                <w:color w:val="244061" w:themeColor="accent1" w:themeShade="80"/>
              </w:rPr>
            </w:pPr>
            <w:r>
              <w:rPr>
                <w:rFonts w:asciiTheme="minorHAnsi" w:hAnsiTheme="minorHAnsi" w:cstheme="minorHAnsi"/>
                <w:color w:val="244061" w:themeColor="accent1" w:themeShade="80"/>
              </w:rPr>
              <w:t>VIC</w:t>
            </w:r>
          </w:p>
        </w:tc>
        <w:tc>
          <w:tcPr>
            <w:tcW w:w="882" w:type="dxa"/>
            <w:tcBorders>
              <w:top w:val="single" w:sz="4" w:space="0" w:color="4BACC6" w:themeColor="accent5"/>
            </w:tcBorders>
            <w:vAlign w:val="center"/>
          </w:tcPr>
          <w:p w:rsidR="006B0811" w:rsidRPr="00C17329" w:rsidRDefault="00C17329" w:rsidP="006B0811">
            <w:pPr>
              <w:jc w:val="center"/>
              <w:cnfStyle w:val="100000000000"/>
              <w:rPr>
                <w:rFonts w:asciiTheme="minorHAnsi" w:hAnsiTheme="minorHAnsi" w:cstheme="minorHAnsi"/>
                <w:color w:val="244061" w:themeColor="accent1" w:themeShade="80"/>
              </w:rPr>
            </w:pPr>
            <w:r>
              <w:rPr>
                <w:rFonts w:asciiTheme="minorHAnsi" w:hAnsiTheme="minorHAnsi" w:cstheme="minorHAnsi"/>
                <w:color w:val="244061" w:themeColor="accent1" w:themeShade="80"/>
              </w:rPr>
              <w:t>QLD</w:t>
            </w:r>
          </w:p>
        </w:tc>
        <w:tc>
          <w:tcPr>
            <w:tcW w:w="882" w:type="dxa"/>
            <w:tcBorders>
              <w:top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SA</w:t>
            </w:r>
          </w:p>
        </w:tc>
        <w:tc>
          <w:tcPr>
            <w:tcW w:w="882" w:type="dxa"/>
            <w:tcBorders>
              <w:top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WA</w:t>
            </w:r>
          </w:p>
        </w:tc>
        <w:tc>
          <w:tcPr>
            <w:tcW w:w="882" w:type="dxa"/>
            <w:tcBorders>
              <w:top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Tas.</w:t>
            </w:r>
          </w:p>
        </w:tc>
        <w:tc>
          <w:tcPr>
            <w:tcW w:w="882" w:type="dxa"/>
            <w:tcBorders>
              <w:top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NT</w:t>
            </w:r>
          </w:p>
        </w:tc>
        <w:tc>
          <w:tcPr>
            <w:tcW w:w="882" w:type="dxa"/>
            <w:tcBorders>
              <w:top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ACT</w:t>
            </w:r>
          </w:p>
        </w:tc>
        <w:tc>
          <w:tcPr>
            <w:tcW w:w="882" w:type="dxa"/>
            <w:tcBorders>
              <w:top w:val="single" w:sz="4" w:space="0" w:color="4BACC6" w:themeColor="accent5"/>
              <w:right w:val="single" w:sz="4" w:space="0" w:color="4BACC6" w:themeColor="accent5"/>
            </w:tcBorders>
            <w:vAlign w:val="center"/>
          </w:tcPr>
          <w:p w:rsidR="006B0811" w:rsidRPr="00C17329" w:rsidRDefault="006B0811" w:rsidP="006B0811">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OT</w:t>
            </w:r>
          </w:p>
        </w:tc>
      </w:tr>
      <w:tr w:rsidR="006B0811" w:rsidTr="00B2600D">
        <w:tc>
          <w:tcPr>
            <w:cnfStyle w:val="001000000000"/>
            <w:tcW w:w="1526" w:type="dxa"/>
            <w:tcBorders>
              <w:left w:val="single" w:sz="4" w:space="0" w:color="4BACC6" w:themeColor="accent5"/>
              <w:right w:val="single" w:sz="4" w:space="0" w:color="4BACC6" w:themeColor="accent5"/>
            </w:tcBorders>
          </w:tcPr>
          <w:p w:rsidR="006B0811" w:rsidRPr="00C17329" w:rsidRDefault="006B0811" w:rsidP="006B0811">
            <w:pPr>
              <w:jc w:val="center"/>
              <w:rPr>
                <w:rFonts w:cstheme="minorHAnsi"/>
                <w:color w:val="244061" w:themeColor="accent1" w:themeShade="80"/>
              </w:rPr>
            </w:pPr>
            <w:r w:rsidRPr="00C17329">
              <w:rPr>
                <w:rFonts w:cstheme="minorHAnsi"/>
                <w:color w:val="244061" w:themeColor="accent1" w:themeShade="80"/>
              </w:rPr>
              <w:t>Group 1</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19.2</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18.1</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19.8</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23.1</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17.6</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27.4</w:t>
            </w:r>
          </w:p>
        </w:tc>
        <w:tc>
          <w:tcPr>
            <w:tcW w:w="882" w:type="dxa"/>
            <w:shd w:val="clear" w:color="auto" w:fill="D9D9D9" w:themeFill="background1" w:themeFillShade="D9"/>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31.2</w:t>
            </w:r>
          </w:p>
        </w:tc>
        <w:tc>
          <w:tcPr>
            <w:tcW w:w="882" w:type="dxa"/>
            <w:shd w:val="clear" w:color="auto" w:fill="808080" w:themeFill="background1" w:themeFillShade="80"/>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12.6</w:t>
            </w:r>
          </w:p>
        </w:tc>
        <w:tc>
          <w:tcPr>
            <w:tcW w:w="882" w:type="dxa"/>
            <w:tcBorders>
              <w:right w:val="single" w:sz="4" w:space="0" w:color="4BACC6" w:themeColor="accent5"/>
            </w:tcBorders>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42.8</w:t>
            </w:r>
          </w:p>
        </w:tc>
      </w:tr>
      <w:tr w:rsidR="006B0811" w:rsidTr="00B2600D">
        <w:tc>
          <w:tcPr>
            <w:cnfStyle w:val="001000000000"/>
            <w:tcW w:w="1526" w:type="dxa"/>
            <w:tcBorders>
              <w:left w:val="single" w:sz="4" w:space="0" w:color="4BACC6" w:themeColor="accent5"/>
              <w:right w:val="single" w:sz="4" w:space="0" w:color="4BACC6" w:themeColor="accent5"/>
            </w:tcBorders>
          </w:tcPr>
          <w:p w:rsidR="006B0811" w:rsidRPr="00C17329" w:rsidRDefault="006B0811" w:rsidP="006B0811">
            <w:pPr>
              <w:jc w:val="center"/>
              <w:rPr>
                <w:rFonts w:cstheme="minorHAnsi"/>
                <w:color w:val="244061" w:themeColor="accent1" w:themeShade="80"/>
              </w:rPr>
            </w:pPr>
            <w:r w:rsidRPr="00C17329">
              <w:rPr>
                <w:rFonts w:cstheme="minorHAnsi"/>
                <w:color w:val="244061" w:themeColor="accent1" w:themeShade="80"/>
              </w:rPr>
              <w:t>Group 2</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18.6</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19.5</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21.0</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21.7</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20.4</w:t>
            </w:r>
          </w:p>
        </w:tc>
        <w:tc>
          <w:tcPr>
            <w:tcW w:w="882" w:type="dxa"/>
            <w:shd w:val="clear" w:color="auto" w:fill="D9D9D9" w:themeFill="background1" w:themeFillShade="D9"/>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24.3</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16.1</w:t>
            </w:r>
          </w:p>
        </w:tc>
        <w:tc>
          <w:tcPr>
            <w:tcW w:w="882" w:type="dxa"/>
            <w:shd w:val="clear" w:color="auto" w:fill="808080" w:themeFill="background1" w:themeFillShade="80"/>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11.4</w:t>
            </w:r>
          </w:p>
        </w:tc>
        <w:tc>
          <w:tcPr>
            <w:tcW w:w="882" w:type="dxa"/>
            <w:tcBorders>
              <w:right w:val="single" w:sz="4" w:space="0" w:color="4BACC6" w:themeColor="accent5"/>
            </w:tcBorders>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15.4</w:t>
            </w:r>
          </w:p>
        </w:tc>
      </w:tr>
      <w:tr w:rsidR="006B0811" w:rsidTr="00B2600D">
        <w:tc>
          <w:tcPr>
            <w:cnfStyle w:val="001000000000"/>
            <w:tcW w:w="1526" w:type="dxa"/>
            <w:tcBorders>
              <w:left w:val="single" w:sz="4" w:space="0" w:color="4BACC6" w:themeColor="accent5"/>
              <w:right w:val="single" w:sz="4" w:space="0" w:color="4BACC6" w:themeColor="accent5"/>
            </w:tcBorders>
          </w:tcPr>
          <w:p w:rsidR="006B0811" w:rsidRPr="00C17329" w:rsidRDefault="006B0811" w:rsidP="006B0811">
            <w:pPr>
              <w:jc w:val="center"/>
              <w:rPr>
                <w:rFonts w:cstheme="minorHAnsi"/>
                <w:color w:val="244061" w:themeColor="accent1" w:themeShade="80"/>
              </w:rPr>
            </w:pPr>
            <w:r w:rsidRPr="00C17329">
              <w:rPr>
                <w:rFonts w:cstheme="minorHAnsi"/>
                <w:color w:val="244061" w:themeColor="accent1" w:themeShade="80"/>
              </w:rPr>
              <w:t>Group 3</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30.6</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31.5</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31.1</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30.1</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31.6</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27.7</w:t>
            </w:r>
          </w:p>
        </w:tc>
        <w:tc>
          <w:tcPr>
            <w:tcW w:w="882" w:type="dxa"/>
            <w:shd w:val="clear" w:color="auto" w:fill="808080" w:themeFill="background1" w:themeFillShade="80"/>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25.6</w:t>
            </w:r>
          </w:p>
        </w:tc>
        <w:tc>
          <w:tcPr>
            <w:tcW w:w="882" w:type="dxa"/>
            <w:shd w:val="clear" w:color="auto" w:fill="D9D9D9" w:themeFill="background1" w:themeFillShade="D9"/>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32.8</w:t>
            </w:r>
          </w:p>
        </w:tc>
        <w:tc>
          <w:tcPr>
            <w:tcW w:w="882" w:type="dxa"/>
            <w:tcBorders>
              <w:right w:val="single" w:sz="4" w:space="0" w:color="4BACC6" w:themeColor="accent5"/>
            </w:tcBorders>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20.0</w:t>
            </w:r>
          </w:p>
        </w:tc>
      </w:tr>
      <w:tr w:rsidR="006B0811" w:rsidTr="00B2600D">
        <w:tc>
          <w:tcPr>
            <w:cnfStyle w:val="001000000000"/>
            <w:tcW w:w="1526" w:type="dxa"/>
            <w:tcBorders>
              <w:left w:val="single" w:sz="4" w:space="0" w:color="4BACC6" w:themeColor="accent5"/>
              <w:right w:val="single" w:sz="4" w:space="0" w:color="4BACC6" w:themeColor="accent5"/>
            </w:tcBorders>
          </w:tcPr>
          <w:p w:rsidR="006B0811" w:rsidRPr="00C17329" w:rsidRDefault="006B0811" w:rsidP="006B0811">
            <w:pPr>
              <w:jc w:val="center"/>
              <w:rPr>
                <w:rFonts w:cstheme="minorHAnsi"/>
                <w:color w:val="244061" w:themeColor="accent1" w:themeShade="80"/>
              </w:rPr>
            </w:pPr>
            <w:r w:rsidRPr="00C17329">
              <w:rPr>
                <w:rFonts w:cstheme="minorHAnsi"/>
                <w:color w:val="244061" w:themeColor="accent1" w:themeShade="80"/>
              </w:rPr>
              <w:t>Group 4</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31.6</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30.9</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28.2</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25.1</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30.5</w:t>
            </w:r>
          </w:p>
        </w:tc>
        <w:tc>
          <w:tcPr>
            <w:tcW w:w="882" w:type="dxa"/>
            <w:shd w:val="clear" w:color="auto" w:fill="808080" w:themeFill="background1" w:themeFillShade="80"/>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20.6</w:t>
            </w:r>
          </w:p>
        </w:tc>
        <w:tc>
          <w:tcPr>
            <w:tcW w:w="882" w:type="dxa"/>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27.1</w:t>
            </w:r>
          </w:p>
        </w:tc>
        <w:tc>
          <w:tcPr>
            <w:tcW w:w="882" w:type="dxa"/>
            <w:shd w:val="clear" w:color="auto" w:fill="D9D9D9" w:themeFill="background1" w:themeFillShade="D9"/>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43.2</w:t>
            </w:r>
          </w:p>
        </w:tc>
        <w:tc>
          <w:tcPr>
            <w:tcW w:w="882" w:type="dxa"/>
            <w:tcBorders>
              <w:right w:val="single" w:sz="4" w:space="0" w:color="4BACC6" w:themeColor="accent5"/>
            </w:tcBorders>
          </w:tcPr>
          <w:p w:rsidR="006B0811" w:rsidRPr="00C17329" w:rsidRDefault="006B0811" w:rsidP="006B0811">
            <w:pPr>
              <w:jc w:val="center"/>
              <w:cnfStyle w:val="000000000000"/>
              <w:rPr>
                <w:rFonts w:cstheme="minorHAnsi"/>
                <w:color w:val="244061" w:themeColor="accent1" w:themeShade="80"/>
              </w:rPr>
            </w:pPr>
            <w:r w:rsidRPr="00C17329">
              <w:rPr>
                <w:rFonts w:cstheme="minorHAnsi"/>
                <w:color w:val="244061" w:themeColor="accent1" w:themeShade="80"/>
              </w:rPr>
              <w:t>21.8</w:t>
            </w:r>
          </w:p>
        </w:tc>
      </w:tr>
    </w:tbl>
    <w:p w:rsidR="00887599" w:rsidRDefault="00831538" w:rsidP="00612C2B">
      <w:pPr>
        <w:pStyle w:val="ListParagraph"/>
        <w:numPr>
          <w:ilvl w:val="0"/>
          <w:numId w:val="4"/>
        </w:numPr>
        <w:ind w:left="993" w:hanging="993"/>
        <w:rPr>
          <w:b/>
          <w:color w:val="244061" w:themeColor="accent1" w:themeShade="80"/>
        </w:rPr>
      </w:pPr>
      <w:r>
        <w:rPr>
          <w:b/>
          <w:color w:val="244061" w:themeColor="accent1" w:themeShade="80"/>
        </w:rPr>
        <w:t>P</w:t>
      </w:r>
      <w:r w:rsidR="00887599">
        <w:rPr>
          <w:b/>
          <w:color w:val="244061" w:themeColor="accent1" w:themeShade="80"/>
        </w:rPr>
        <w:t>ercentage distributions of SEIFI IRSD Group by state or territory</w:t>
      </w:r>
      <w:r>
        <w:rPr>
          <w:b/>
          <w:color w:val="244061" w:themeColor="accent1" w:themeShade="80"/>
        </w:rPr>
        <w:t xml:space="preserve"> (15-64 year old </w:t>
      </w:r>
      <w:r w:rsidR="00B11DDD">
        <w:rPr>
          <w:b/>
          <w:color w:val="244061" w:themeColor="accent1" w:themeShade="80"/>
        </w:rPr>
        <w:t>p</w:t>
      </w:r>
      <w:r>
        <w:rPr>
          <w:b/>
          <w:color w:val="244061" w:themeColor="accent1" w:themeShade="80"/>
        </w:rPr>
        <w:t>opulation)</w:t>
      </w:r>
    </w:p>
    <w:p w:rsidR="00886665" w:rsidRDefault="00886665" w:rsidP="00886665">
      <w:pPr>
        <w:pStyle w:val="ListParagraph"/>
        <w:spacing w:before="240"/>
        <w:rPr>
          <w:color w:val="808080" w:themeColor="background1" w:themeShade="80"/>
          <w:sz w:val="18"/>
          <w:szCs w:val="18"/>
        </w:rPr>
      </w:pPr>
    </w:p>
    <w:p w:rsidR="00037A4C" w:rsidRPr="00992A6A" w:rsidRDefault="00037A4C" w:rsidP="00612C2B">
      <w:pPr>
        <w:pStyle w:val="ListParagraph"/>
        <w:numPr>
          <w:ilvl w:val="0"/>
          <w:numId w:val="11"/>
        </w:numPr>
        <w:spacing w:before="240"/>
        <w:ind w:right="713"/>
        <w:rPr>
          <w:color w:val="808080" w:themeColor="background1" w:themeShade="80"/>
          <w:sz w:val="18"/>
          <w:szCs w:val="18"/>
        </w:rPr>
      </w:pPr>
      <w:r w:rsidRPr="00992A6A">
        <w:rPr>
          <w:color w:val="808080" w:themeColor="background1" w:themeShade="80"/>
          <w:sz w:val="18"/>
          <w:szCs w:val="18"/>
        </w:rPr>
        <w:t xml:space="preserve">For a detailed explanation of the SEIFI IRSD groups, please see the section </w:t>
      </w:r>
      <w:hyperlink w:anchor="_Understanding_the_SEIFI" w:history="1">
        <w:r w:rsidRPr="00992A6A">
          <w:rPr>
            <w:rStyle w:val="Hyperlink"/>
            <w:color w:val="808080" w:themeColor="background1" w:themeShade="80"/>
            <w:sz w:val="18"/>
            <w:szCs w:val="18"/>
          </w:rPr>
          <w:t>Understanding the SEIFI and SEIFA Scores</w:t>
        </w:r>
      </w:hyperlink>
      <w:r w:rsidRPr="00992A6A">
        <w:rPr>
          <w:color w:val="808080" w:themeColor="background1" w:themeShade="80"/>
          <w:sz w:val="18"/>
          <w:szCs w:val="18"/>
        </w:rPr>
        <w:t xml:space="preserve"> below. Briefly, individuals in Group 1 are the most disadvantaged and individuals in Group 4 are the least disadvantaged. </w:t>
      </w:r>
    </w:p>
    <w:p w:rsidR="00C24987" w:rsidRPr="00992A6A" w:rsidRDefault="00C24987" w:rsidP="00612C2B">
      <w:pPr>
        <w:pStyle w:val="ListParagraph"/>
        <w:numPr>
          <w:ilvl w:val="0"/>
          <w:numId w:val="11"/>
        </w:numPr>
        <w:spacing w:after="0"/>
        <w:ind w:right="713"/>
        <w:rPr>
          <w:color w:val="808080" w:themeColor="background1" w:themeShade="80"/>
          <w:sz w:val="18"/>
          <w:szCs w:val="18"/>
        </w:rPr>
      </w:pPr>
      <w:r w:rsidRPr="00992A6A">
        <w:rPr>
          <w:color w:val="808080" w:themeColor="background1" w:themeShade="80"/>
          <w:sz w:val="18"/>
          <w:szCs w:val="18"/>
        </w:rPr>
        <w:t>Cells highlighted in light grey are the highest proportions for each</w:t>
      </w:r>
      <w:r w:rsidR="009B238C" w:rsidRPr="00992A6A">
        <w:rPr>
          <w:color w:val="808080" w:themeColor="background1" w:themeShade="80"/>
          <w:sz w:val="18"/>
          <w:szCs w:val="18"/>
        </w:rPr>
        <w:t xml:space="preserve"> SEIFI IRSD</w:t>
      </w:r>
      <w:r w:rsidRPr="00992A6A">
        <w:rPr>
          <w:color w:val="808080" w:themeColor="background1" w:themeShade="80"/>
          <w:sz w:val="18"/>
          <w:szCs w:val="18"/>
        </w:rPr>
        <w:t xml:space="preserve"> Group. The cells highlighted in dark grey are the lowest proportions for each SEIFI IRSD Group. </w:t>
      </w:r>
    </w:p>
    <w:p w:rsidR="00824FDA" w:rsidRPr="00992A6A" w:rsidRDefault="00567BD4" w:rsidP="00567BD4">
      <w:pPr>
        <w:tabs>
          <w:tab w:val="left" w:pos="1725"/>
        </w:tabs>
        <w:ind w:left="360"/>
        <w:rPr>
          <w:color w:val="808080" w:themeColor="background1" w:themeShade="80"/>
          <w:sz w:val="18"/>
          <w:szCs w:val="18"/>
        </w:rPr>
      </w:pPr>
      <w:proofErr w:type="gramStart"/>
      <w:r w:rsidRPr="00992A6A">
        <w:rPr>
          <w:color w:val="808080" w:themeColor="background1" w:themeShade="80"/>
          <w:sz w:val="18"/>
          <w:szCs w:val="18"/>
        </w:rPr>
        <w:t xml:space="preserve">Adapted from: </w:t>
      </w:r>
      <w:r w:rsidR="00F12DB7">
        <w:rPr>
          <w:color w:val="808080" w:themeColor="background1" w:themeShade="80"/>
          <w:sz w:val="18"/>
          <w:szCs w:val="18"/>
        </w:rPr>
        <w:t>Wise and Mathew</w:t>
      </w:r>
      <w:r w:rsidR="00B2600D">
        <w:rPr>
          <w:color w:val="808080" w:themeColor="background1" w:themeShade="80"/>
          <w:sz w:val="18"/>
          <w:szCs w:val="18"/>
        </w:rPr>
        <w:t>s (2011).</w:t>
      </w:r>
      <w:proofErr w:type="gramEnd"/>
      <w:r w:rsidR="00B2600D">
        <w:rPr>
          <w:color w:val="808080" w:themeColor="background1" w:themeShade="80"/>
          <w:sz w:val="18"/>
          <w:szCs w:val="18"/>
        </w:rPr>
        <w:t xml:space="preserve"> Socio-Economic Indexes</w:t>
      </w:r>
      <w:r w:rsidR="008C1AB8">
        <w:rPr>
          <w:color w:val="808080" w:themeColor="background1" w:themeShade="80"/>
          <w:sz w:val="18"/>
          <w:szCs w:val="18"/>
        </w:rPr>
        <w:t xml:space="preserve"> for Areas: Getting a Handle on Individual Diversity within Areas. </w:t>
      </w:r>
    </w:p>
    <w:p w:rsidR="004C5DC2" w:rsidRDefault="0061745F" w:rsidP="004C5DC2">
      <w:r>
        <w:t xml:space="preserve">Despite this, the SEIFI data demonstrates a much higher level of relative disadvantage in the ACT than has previously been </w:t>
      </w:r>
      <w:r w:rsidR="008C1AB8">
        <w:t>reported</w:t>
      </w:r>
      <w:r>
        <w:t xml:space="preserve"> in the SEIFA data. While the </w:t>
      </w:r>
      <w:r w:rsidR="00B11DDD">
        <w:t>statistical evidence</w:t>
      </w:r>
      <w:r>
        <w:t xml:space="preserve"> </w:t>
      </w:r>
      <w:r w:rsidR="00F12DB7">
        <w:t xml:space="preserve">of </w:t>
      </w:r>
      <w:r w:rsidR="002C7D4C">
        <w:t>greater relative disadvantage in the Territory</w:t>
      </w:r>
      <w:r w:rsidR="00F12DB7">
        <w:t xml:space="preserve"> is new</w:t>
      </w:r>
      <w:r w:rsidR="004C5DC2">
        <w:t xml:space="preserve">, it has long since been known </w:t>
      </w:r>
      <w:r w:rsidR="0003250E">
        <w:t>by government and community service providers</w:t>
      </w:r>
      <w:r w:rsidR="004C5DC2">
        <w:t xml:space="preserve"> that the ACT has much more pronounced ecological fallacy than other jurisdictions. Despite enjoying a low proportion of relative disadvantage overall, the averaging effects of the SEIFA methodology mask the relative disadvantage of thos</w:t>
      </w:r>
      <w:r w:rsidR="002C0BB8">
        <w:t>e</w:t>
      </w:r>
      <w:r w:rsidR="004C5DC2">
        <w:t xml:space="preserve"> individuals living in Canberra’s socio-economically diverse neighbourhoods, capturing only a fraction of the true level of disadvantage being experienced in the ACT.</w:t>
      </w:r>
    </w:p>
    <w:p w:rsidR="00993C93" w:rsidRDefault="0063086F" w:rsidP="00643554">
      <w:r>
        <w:t xml:space="preserve">When analysing disadvantage in the ACT at the suburb level, </w:t>
      </w:r>
      <w:r w:rsidR="001615AC">
        <w:t xml:space="preserve">for example, </w:t>
      </w:r>
      <w:r w:rsidR="00993C93">
        <w:t xml:space="preserve">the SEIFA IRSD </w:t>
      </w:r>
      <w:r w:rsidR="008C1AB8">
        <w:t xml:space="preserve">index </w:t>
      </w:r>
      <w:r w:rsidR="00993C93">
        <w:t xml:space="preserve">only identified 0.2% of the total ACT population as falling into the most </w:t>
      </w:r>
      <w:r w:rsidR="00255F5F">
        <w:t xml:space="preserve">disadvantaged 20% of Australians, or </w:t>
      </w:r>
      <w:r w:rsidR="0029512E">
        <w:t>approximately 712 individuals. By contrast</w:t>
      </w:r>
      <w:r w:rsidR="00FE0D91">
        <w:t>,</w:t>
      </w:r>
      <w:r w:rsidR="0029512E">
        <w:t xml:space="preserve"> t</w:t>
      </w:r>
      <w:r w:rsidR="00255F5F">
        <w:t xml:space="preserve">he SEIFI IRSD data indicated that </w:t>
      </w:r>
      <w:r w:rsidR="0029512E" w:rsidRPr="0029512E">
        <w:t>28,639</w:t>
      </w:r>
      <w:r w:rsidR="0029512E">
        <w:t xml:space="preserve"> or </w:t>
      </w:r>
      <w:r w:rsidR="00255F5F">
        <w:t xml:space="preserve">12.6% of ACT residents </w:t>
      </w:r>
      <w:r w:rsidR="0041485B">
        <w:t xml:space="preserve">aged 15 to 64 </w:t>
      </w:r>
      <w:proofErr w:type="gramStart"/>
      <w:r w:rsidR="0029512E">
        <w:t>fall</w:t>
      </w:r>
      <w:proofErr w:type="gramEnd"/>
      <w:r w:rsidR="0029512E">
        <w:t xml:space="preserve"> </w:t>
      </w:r>
      <w:r w:rsidR="002F4207">
        <w:t>into that same cohort</w:t>
      </w:r>
      <w:r w:rsidR="000B2E3C">
        <w:t>.  B</w:t>
      </w:r>
      <w:r w:rsidR="0029512E">
        <w:t xml:space="preserve">ased on this information </w:t>
      </w:r>
      <w:r w:rsidR="008C1AB8">
        <w:t>it has been</w:t>
      </w:r>
      <w:r w:rsidR="0029512E">
        <w:t xml:space="preserve"> estimated that approximately 40,400 individuals in the total ACT population</w:t>
      </w:r>
      <w:r w:rsidR="008C1AB8">
        <w:t xml:space="preserve"> may</w:t>
      </w:r>
      <w:r w:rsidR="0029512E">
        <w:t xml:space="preserve"> </w:t>
      </w:r>
      <w:r w:rsidR="002F4207">
        <w:t>fall into the most disadvantaged quintile</w:t>
      </w:r>
      <w:r w:rsidR="00FE0D91">
        <w:t xml:space="preserve">. </w:t>
      </w:r>
    </w:p>
    <w:p w:rsidR="008D40DD" w:rsidRDefault="002E7DC5" w:rsidP="006558B6">
      <w:r>
        <w:t xml:space="preserve">The purpose of the ACT SEIFI Analysis Project </w:t>
      </w:r>
      <w:r w:rsidR="00D36BB5">
        <w:t xml:space="preserve">is therefore to compare </w:t>
      </w:r>
      <w:r w:rsidR="00EC6E9F">
        <w:t xml:space="preserve">the SEIFA and SEIFI data for the </w:t>
      </w:r>
      <w:r w:rsidR="000B2E3C">
        <w:t>ACT</w:t>
      </w:r>
      <w:r w:rsidR="00EC6E9F">
        <w:t xml:space="preserve"> and quantify the relative socio-economic disadvantage that is being hi</w:t>
      </w:r>
      <w:r w:rsidR="00926F08">
        <w:t>dden wherever SEIFA is applied.</w:t>
      </w:r>
      <w:r w:rsidR="000E398E">
        <w:t xml:space="preserve"> This work will be a major contribution towards</w:t>
      </w:r>
      <w:r w:rsidR="002F2B4A">
        <w:t xml:space="preserve"> ensuring that adequate and effect</w:t>
      </w:r>
      <w:r w:rsidR="00991F09">
        <w:t>ive</w:t>
      </w:r>
      <w:r w:rsidR="002F2B4A">
        <w:t xml:space="preserve"> services are provided </w:t>
      </w:r>
      <w:r w:rsidR="00B37C4C">
        <w:t xml:space="preserve">to </w:t>
      </w:r>
      <w:r w:rsidR="002F2B4A">
        <w:t>ACT residen</w:t>
      </w:r>
      <w:r w:rsidR="00B37C4C">
        <w:t>ts</w:t>
      </w:r>
      <w:r w:rsidR="002F2B4A">
        <w:t xml:space="preserve"> </w:t>
      </w:r>
      <w:r w:rsidR="00FF5645">
        <w:t xml:space="preserve">by </w:t>
      </w:r>
      <w:r w:rsidR="000E398E">
        <w:t xml:space="preserve">supporting </w:t>
      </w:r>
      <w:r w:rsidR="00991F09">
        <w:t xml:space="preserve">the </w:t>
      </w:r>
      <w:r w:rsidR="00B37C4C">
        <w:t>use of</w:t>
      </w:r>
      <w:r w:rsidR="00991F09">
        <w:t xml:space="preserve"> current, </w:t>
      </w:r>
      <w:r w:rsidR="00FF5645">
        <w:t>accurate,</w:t>
      </w:r>
      <w:r w:rsidR="00991F09">
        <w:t xml:space="preserve"> and </w:t>
      </w:r>
      <w:r w:rsidR="00B37C4C">
        <w:t>meaningful data</w:t>
      </w:r>
      <w:r w:rsidR="00991F09">
        <w:t xml:space="preserve"> to inform </w:t>
      </w:r>
      <w:r w:rsidR="00FF5645">
        <w:t xml:space="preserve">government practice, including in </w:t>
      </w:r>
      <w:r w:rsidR="00991F09">
        <w:t>policy development, funding</w:t>
      </w:r>
      <w:r w:rsidR="00FF5645">
        <w:t xml:space="preserve"> allocation</w:t>
      </w:r>
      <w:r w:rsidR="00991F09">
        <w:t xml:space="preserve">, and service delivery.  </w:t>
      </w:r>
    </w:p>
    <w:p w:rsidR="007E20F5" w:rsidRDefault="007E20F5" w:rsidP="006558B6">
      <w:r>
        <w:lastRenderedPageBreak/>
        <w:t xml:space="preserve">This analysis will compare the SEIFI </w:t>
      </w:r>
      <w:r w:rsidR="00D26416">
        <w:t xml:space="preserve">IRSD (Index of Socio-economic Disadvantage) with the SEIFA IRSD only. While the IRSAD (Index of Socio-economic </w:t>
      </w:r>
      <w:r w:rsidR="006B6874">
        <w:t xml:space="preserve">Advantage and </w:t>
      </w:r>
      <w:r w:rsidR="00D26416">
        <w:t xml:space="preserve">Disadvantage) </w:t>
      </w:r>
      <w:r w:rsidR="0046032B">
        <w:t xml:space="preserve">indexes can be informative for exploring both advantage and disadvantage, the SEIFA IRSD is the most commonly used </w:t>
      </w:r>
      <w:r w:rsidR="00B31C5B">
        <w:t xml:space="preserve">index in practice by governments and otherwise. </w:t>
      </w:r>
    </w:p>
    <w:p w:rsidR="000743C1" w:rsidRDefault="008D40DD" w:rsidP="006558B6">
      <w:r>
        <w:t xml:space="preserve">The </w:t>
      </w:r>
      <w:r w:rsidR="00DB6EBC">
        <w:t xml:space="preserve">following </w:t>
      </w:r>
      <w:r>
        <w:t xml:space="preserve">section of this report </w:t>
      </w:r>
      <w:r w:rsidR="000743C1">
        <w:t>will explore the findings of the SEIFI analysis by profiling select ACT suburbs and collection districts</w:t>
      </w:r>
      <w:r w:rsidR="00D259E9">
        <w:t xml:space="preserve"> (CDs)</w:t>
      </w:r>
      <w:r w:rsidR="00DB6EBC">
        <w:t xml:space="preserve"> (</w:t>
      </w:r>
      <w:r w:rsidR="008A0857">
        <w:t xml:space="preserve">see </w:t>
      </w:r>
      <w:hyperlink w:anchor="_Compendium_of_SEIFA" w:history="1">
        <w:r w:rsidR="008A0857">
          <w:rPr>
            <w:rStyle w:val="Hyperlink"/>
          </w:rPr>
          <w:t>Section 2</w:t>
        </w:r>
      </w:hyperlink>
      <w:r w:rsidR="00DB6EBC">
        <w:t>)</w:t>
      </w:r>
      <w:r w:rsidR="000743C1">
        <w:t xml:space="preserve">. Each suburb or </w:t>
      </w:r>
      <w:r w:rsidR="00D259E9">
        <w:t>CD</w:t>
      </w:r>
      <w:r w:rsidR="000743C1">
        <w:t xml:space="preserve"> will be used to highlight trends observed in the </w:t>
      </w:r>
      <w:r w:rsidR="00DB6EBC">
        <w:t xml:space="preserve">SEIFI </w:t>
      </w:r>
      <w:r w:rsidR="000743C1">
        <w:t>data and</w:t>
      </w:r>
      <w:r w:rsidR="00DB6EBC">
        <w:t xml:space="preserve"> to</w:t>
      </w:r>
      <w:r w:rsidR="000743C1">
        <w:t xml:space="preserve"> identify the numbers of </w:t>
      </w:r>
      <w:r w:rsidR="00DB6EBC">
        <w:t>residents in that area</w:t>
      </w:r>
      <w:r w:rsidR="000743C1">
        <w:t xml:space="preserve"> who experience greater relative socio-economic disadvantage but are masked when the SEIFA IRSD </w:t>
      </w:r>
      <w:r w:rsidR="00DB6EBC">
        <w:t xml:space="preserve">score is </w:t>
      </w:r>
      <w:r w:rsidR="000743C1">
        <w:t xml:space="preserve">applied as a proxy measure </w:t>
      </w:r>
      <w:r w:rsidR="00DB6EBC">
        <w:t xml:space="preserve">for individual-level disadvantage. </w:t>
      </w:r>
    </w:p>
    <w:p w:rsidR="003E36E8" w:rsidRDefault="003E36E8" w:rsidP="006558B6">
      <w:r>
        <w:t>The final section will provide a brief review of the findings and a discussion of their implications, including important caveats and directions for future work</w:t>
      </w:r>
      <w:r w:rsidR="008A0857">
        <w:t xml:space="preserve"> (see </w:t>
      </w:r>
      <w:hyperlink w:anchor="_Section_4:_Discussion" w:history="1">
        <w:r w:rsidR="008A0857" w:rsidRPr="008A0857">
          <w:rPr>
            <w:rStyle w:val="Hyperlink"/>
          </w:rPr>
          <w:t xml:space="preserve">Section </w:t>
        </w:r>
        <w:r w:rsidR="008C1AB8">
          <w:rPr>
            <w:rStyle w:val="Hyperlink"/>
          </w:rPr>
          <w:t>3</w:t>
        </w:r>
      </w:hyperlink>
      <w:r w:rsidR="008A0857">
        <w:t>)</w:t>
      </w:r>
      <w:r>
        <w:t xml:space="preserve">. </w:t>
      </w:r>
    </w:p>
    <w:p w:rsidR="003900E5" w:rsidRDefault="007A0EC6" w:rsidP="007A0EC6">
      <w:pPr>
        <w:pStyle w:val="Heading2"/>
      </w:pPr>
      <w:bookmarkStart w:id="16" w:name="_Understanding_the_SEIFI"/>
      <w:bookmarkStart w:id="17" w:name="_Toc358033190"/>
      <w:bookmarkEnd w:id="16"/>
      <w:r>
        <w:t>Understanding the SEIFI and SEIFA Scores</w:t>
      </w:r>
      <w:bookmarkEnd w:id="17"/>
    </w:p>
    <w:p w:rsidR="009E1242" w:rsidRDefault="00015F52" w:rsidP="003900E5">
      <w:r>
        <w:t xml:space="preserve">Briefly, </w:t>
      </w:r>
      <w:r w:rsidR="00BF1B40">
        <w:t xml:space="preserve">the SEIFI and SEIFA indexes </w:t>
      </w:r>
      <w:r w:rsidR="008C1AB8">
        <w:t>were</w:t>
      </w:r>
      <w:r w:rsidR="00BF1B40">
        <w:t xml:space="preserve"> created </w:t>
      </w:r>
      <w:r>
        <w:t>u</w:t>
      </w:r>
      <w:r w:rsidR="006B178C">
        <w:t>sing a statistical method called Principal Components Analysis,</w:t>
      </w:r>
      <w:r w:rsidR="00BF1B40">
        <w:t xml:space="preserve"> where</w:t>
      </w:r>
      <w:r w:rsidR="006B178C">
        <w:t xml:space="preserve"> data</w:t>
      </w:r>
      <w:r w:rsidR="00A82B69">
        <w:t xml:space="preserve"> </w:t>
      </w:r>
      <w:r>
        <w:t xml:space="preserve">is </w:t>
      </w:r>
      <w:r w:rsidR="00A82B69">
        <w:t>input</w:t>
      </w:r>
      <w:r w:rsidR="006B178C">
        <w:t xml:space="preserve"> from a variety of variable</w:t>
      </w:r>
      <w:r w:rsidR="00A82B69">
        <w:t>s</w:t>
      </w:r>
      <w:r w:rsidR="006B178C">
        <w:t xml:space="preserve"> (see Appendix </w:t>
      </w:r>
      <w:r w:rsidR="00F36F50">
        <w:t>A</w:t>
      </w:r>
      <w:r w:rsidR="00A82B69">
        <w:t>) to produce a score for each individual</w:t>
      </w:r>
      <w:r w:rsidR="00F36F50">
        <w:t xml:space="preserve"> aged 15-64</w:t>
      </w:r>
      <w:r w:rsidR="00A82B69">
        <w:t xml:space="preserve">, or, in the case of SEIFA, for each collection district area. </w:t>
      </w:r>
      <w:r w:rsidR="00986E27">
        <w:t xml:space="preserve">A low score represents a high level of relative socio-economic disadvantage and a high score represents little or no relative disadvantage. </w:t>
      </w:r>
      <w:r w:rsidR="00A82B69">
        <w:t xml:space="preserve">Once </w:t>
      </w:r>
      <w:r w:rsidR="00986E27">
        <w:t xml:space="preserve">the </w:t>
      </w:r>
      <w:r w:rsidR="00A82B69">
        <w:t xml:space="preserve">scores have been calculated for each individual or area, </w:t>
      </w:r>
      <w:r w:rsidR="0071357D">
        <w:t xml:space="preserve">the scores are ranked against each other. </w:t>
      </w:r>
    </w:p>
    <w:p w:rsidR="007A0EC6" w:rsidRDefault="009E1242" w:rsidP="003900E5">
      <w:r>
        <w:t xml:space="preserve">SEIFA scores are traditionally grouped into deciles based on where they </w:t>
      </w:r>
      <w:r w:rsidR="00986E27">
        <w:t xml:space="preserve">fall within the ranking. Once again, a SEIFA </w:t>
      </w:r>
      <w:proofErr w:type="spellStart"/>
      <w:r w:rsidR="00986E27">
        <w:t>decile</w:t>
      </w:r>
      <w:proofErr w:type="spellEnd"/>
      <w:r w:rsidR="00986E27">
        <w:t xml:space="preserve"> score of 1 or 2 indicates that the </w:t>
      </w:r>
      <w:r w:rsidR="00A34E71">
        <w:t xml:space="preserve">CD </w:t>
      </w:r>
      <w:r w:rsidR="00986E27">
        <w:t xml:space="preserve">has a high level of relative disadvantage, whereas a </w:t>
      </w:r>
      <w:proofErr w:type="spellStart"/>
      <w:r w:rsidR="00986E27">
        <w:t>decile</w:t>
      </w:r>
      <w:proofErr w:type="spellEnd"/>
      <w:r w:rsidR="00986E27">
        <w:t xml:space="preserve"> score of 8 or higher represents rela</w:t>
      </w:r>
      <w:r w:rsidR="0069470D">
        <w:t>tively little or</w:t>
      </w:r>
      <w:r w:rsidR="00CD5315">
        <w:t xml:space="preserve"> no</w:t>
      </w:r>
      <w:r w:rsidR="0069470D">
        <w:t xml:space="preserve"> disadvantage. Collection district scores are commonly aggregated to larger geographic classifications before they are used, including to </w:t>
      </w:r>
      <w:r w:rsidR="000208CD">
        <w:t>State Suburb, Statistical Local Area,</w:t>
      </w:r>
      <w:r w:rsidR="006B534B">
        <w:t xml:space="preserve"> or</w:t>
      </w:r>
      <w:r w:rsidR="000208CD">
        <w:t xml:space="preserve"> Local Government Area</w:t>
      </w:r>
      <w:r w:rsidR="00CD5315">
        <w:t xml:space="preserve"> levels</w:t>
      </w:r>
      <w:r w:rsidR="006B534B">
        <w:t xml:space="preserve">. </w:t>
      </w:r>
    </w:p>
    <w:p w:rsidR="00637CC9" w:rsidRDefault="00D73FCA" w:rsidP="003900E5">
      <w:r>
        <w:t xml:space="preserve">Individual SEIFI scores are ranked across all residents </w:t>
      </w:r>
      <w:r w:rsidR="00F36F50">
        <w:t xml:space="preserve">aged 15-64 </w:t>
      </w:r>
      <w:r>
        <w:t xml:space="preserve">at the national level. </w:t>
      </w:r>
      <w:r w:rsidR="00425AD3">
        <w:t xml:space="preserve">Due to the </w:t>
      </w:r>
      <w:r w:rsidR="009453C7">
        <w:t xml:space="preserve">pattern </w:t>
      </w:r>
      <w:r w:rsidR="00F36F50">
        <w:t>in the</w:t>
      </w:r>
      <w:r w:rsidR="009453C7">
        <w:t xml:space="preserve"> </w:t>
      </w:r>
      <w:r w:rsidR="00425AD3">
        <w:t xml:space="preserve">distribution of the </w:t>
      </w:r>
      <w:r w:rsidR="00F36F50">
        <w:t xml:space="preserve">individual </w:t>
      </w:r>
      <w:r w:rsidR="00425AD3">
        <w:t>scores</w:t>
      </w:r>
      <w:r w:rsidR="009453C7">
        <w:t xml:space="preserve">, it was </w:t>
      </w:r>
      <w:r w:rsidR="008C1AB8">
        <w:t xml:space="preserve">determined </w:t>
      </w:r>
      <w:r w:rsidR="009453C7">
        <w:t>that division into deciles would not be appropriate</w:t>
      </w:r>
      <w:r w:rsidR="00095C94">
        <w:t xml:space="preserve"> for SEIFI</w:t>
      </w:r>
      <w:r w:rsidR="009453C7">
        <w:t>.</w:t>
      </w:r>
      <w:r w:rsidR="00095C94">
        <w:t xml:space="preserve"> Instead, individuals</w:t>
      </w:r>
      <w:r w:rsidR="00E71F7E">
        <w:t xml:space="preserve"> aged 15-64</w:t>
      </w:r>
      <w:r w:rsidR="00095C94">
        <w:t xml:space="preserve"> are classified into one of four groups based on where their score lies wit</w:t>
      </w:r>
      <w:r w:rsidR="00727DA5">
        <w:t>hin natural breaks in the data.</w:t>
      </w:r>
      <w:r w:rsidR="008466F0">
        <w:t xml:space="preserve"> </w:t>
      </w:r>
      <w:r w:rsidR="00727DA5">
        <w:t>Rather than a single number</w:t>
      </w:r>
      <w:r w:rsidR="00A33125">
        <w:t xml:space="preserve"> or </w:t>
      </w:r>
      <w:proofErr w:type="spellStart"/>
      <w:r w:rsidR="00A33125">
        <w:t>decile</w:t>
      </w:r>
      <w:proofErr w:type="spellEnd"/>
      <w:r w:rsidR="00A33125">
        <w:t xml:space="preserve"> score</w:t>
      </w:r>
      <w:r w:rsidR="008466F0">
        <w:t xml:space="preserve">, each CD </w:t>
      </w:r>
      <w:r w:rsidR="00D233C7">
        <w:t xml:space="preserve">then </w:t>
      </w:r>
      <w:r w:rsidR="008466F0">
        <w:t xml:space="preserve">is described by four percentages that represent the proportion local residents whose SEIFI scores fall into each of the groups, </w:t>
      </w:r>
      <w:r w:rsidR="00A33125">
        <w:t>where:</w:t>
      </w:r>
    </w:p>
    <w:p w:rsidR="00A33125" w:rsidRDefault="00A33125" w:rsidP="00612C2B">
      <w:pPr>
        <w:pStyle w:val="ListParagraph"/>
        <w:numPr>
          <w:ilvl w:val="0"/>
          <w:numId w:val="3"/>
        </w:numPr>
      </w:pPr>
      <w:r>
        <w:rPr>
          <w:b/>
        </w:rPr>
        <w:t>Group 1</w:t>
      </w:r>
      <w:r>
        <w:t xml:space="preserve"> </w:t>
      </w:r>
      <w:r w:rsidR="002548A2">
        <w:t>roughly corresponds with the first and second deciles</w:t>
      </w:r>
      <w:r w:rsidR="005B565F">
        <w:t>,</w:t>
      </w:r>
      <w:r w:rsidR="002548A2">
        <w:t xml:space="preserve"> and </w:t>
      </w:r>
      <w:r w:rsidR="00235987">
        <w:t>includes</w:t>
      </w:r>
      <w:r>
        <w:t xml:space="preserve"> individuals </w:t>
      </w:r>
      <w:r w:rsidR="00E71F7E">
        <w:t xml:space="preserve">aged 15-64 </w:t>
      </w:r>
      <w:r w:rsidR="00205E2A">
        <w:t xml:space="preserve">with the lowest SEIFI scores, </w:t>
      </w:r>
      <w:r w:rsidR="002548A2">
        <w:t>placing them among</w:t>
      </w:r>
      <w:r w:rsidR="00205E2A">
        <w:t xml:space="preserve"> the most disadvantaged 20% of Australians</w:t>
      </w:r>
    </w:p>
    <w:p w:rsidR="00A33125" w:rsidRDefault="00A33125" w:rsidP="00612C2B">
      <w:pPr>
        <w:pStyle w:val="ListParagraph"/>
        <w:numPr>
          <w:ilvl w:val="0"/>
          <w:numId w:val="3"/>
        </w:numPr>
      </w:pPr>
      <w:r>
        <w:rPr>
          <w:b/>
        </w:rPr>
        <w:t>Group 2</w:t>
      </w:r>
      <w:r>
        <w:t xml:space="preserve"> </w:t>
      </w:r>
      <w:r w:rsidR="002548A2">
        <w:t>roughly corresponds with the third and fourth deciles</w:t>
      </w:r>
      <w:r w:rsidR="005B565F">
        <w:t>,</w:t>
      </w:r>
      <w:r w:rsidR="002548A2">
        <w:t xml:space="preserve"> and </w:t>
      </w:r>
      <w:r w:rsidR="00235987">
        <w:t>includes</w:t>
      </w:r>
      <w:r>
        <w:t xml:space="preserve"> individuals</w:t>
      </w:r>
      <w:r w:rsidR="00205E2A">
        <w:t xml:space="preserve"> </w:t>
      </w:r>
      <w:r w:rsidR="00E71F7E">
        <w:t xml:space="preserve">aged 15-64 </w:t>
      </w:r>
      <w:r w:rsidR="00205E2A">
        <w:t xml:space="preserve">with low SEIFI scores, placing them </w:t>
      </w:r>
      <w:r w:rsidR="002548A2">
        <w:t>among</w:t>
      </w:r>
      <w:r w:rsidR="00205E2A">
        <w:t xml:space="preserve"> the second most disadvantaged 20% of Australians</w:t>
      </w:r>
    </w:p>
    <w:p w:rsidR="00205E2A" w:rsidRDefault="00205E2A" w:rsidP="00612C2B">
      <w:pPr>
        <w:pStyle w:val="ListParagraph"/>
        <w:numPr>
          <w:ilvl w:val="0"/>
          <w:numId w:val="3"/>
        </w:numPr>
      </w:pPr>
      <w:r>
        <w:rPr>
          <w:b/>
        </w:rPr>
        <w:lastRenderedPageBreak/>
        <w:t xml:space="preserve">Group 3 </w:t>
      </w:r>
      <w:r w:rsidR="002548A2">
        <w:t>roughly corresponds with the 5</w:t>
      </w:r>
      <w:r w:rsidR="002548A2" w:rsidRPr="002548A2">
        <w:rPr>
          <w:vertAlign w:val="superscript"/>
        </w:rPr>
        <w:t>th</w:t>
      </w:r>
      <w:r w:rsidR="002548A2">
        <w:t>, 6</w:t>
      </w:r>
      <w:r w:rsidR="002548A2" w:rsidRPr="002548A2">
        <w:rPr>
          <w:vertAlign w:val="superscript"/>
        </w:rPr>
        <w:t>th</w:t>
      </w:r>
      <w:r w:rsidR="002548A2">
        <w:t>, and 7</w:t>
      </w:r>
      <w:r w:rsidR="002548A2" w:rsidRPr="002548A2">
        <w:rPr>
          <w:vertAlign w:val="superscript"/>
        </w:rPr>
        <w:t>th</w:t>
      </w:r>
      <w:r w:rsidR="002548A2">
        <w:t xml:space="preserve"> deciles, and </w:t>
      </w:r>
      <w:r w:rsidR="00235987">
        <w:t>includes</w:t>
      </w:r>
      <w:r>
        <w:t xml:space="preserve"> individuals </w:t>
      </w:r>
      <w:r w:rsidR="00E71F7E">
        <w:t xml:space="preserve">aged 15-64 </w:t>
      </w:r>
      <w:r>
        <w:t xml:space="preserve">with </w:t>
      </w:r>
      <w:r w:rsidR="008C5010">
        <w:t xml:space="preserve">SEIFI scores in the middle range, placing them </w:t>
      </w:r>
      <w:r w:rsidR="00DA6A1F">
        <w:t>i</w:t>
      </w:r>
      <w:r w:rsidR="008C5010">
        <w:t>n second least disadvantaged 30% of Australians</w:t>
      </w:r>
    </w:p>
    <w:p w:rsidR="008C5010" w:rsidRDefault="008C5010" w:rsidP="00612C2B">
      <w:pPr>
        <w:pStyle w:val="ListParagraph"/>
        <w:numPr>
          <w:ilvl w:val="0"/>
          <w:numId w:val="3"/>
        </w:numPr>
      </w:pPr>
      <w:r>
        <w:rPr>
          <w:b/>
        </w:rPr>
        <w:t>Group 4</w:t>
      </w:r>
      <w:r>
        <w:t xml:space="preserve"> </w:t>
      </w:r>
      <w:r w:rsidR="005B565F">
        <w:t>roughly corresponds with the 8</w:t>
      </w:r>
      <w:r w:rsidR="005B565F" w:rsidRPr="005B565F">
        <w:rPr>
          <w:vertAlign w:val="superscript"/>
        </w:rPr>
        <w:t>th</w:t>
      </w:r>
      <w:r w:rsidR="005B565F">
        <w:t>, 9</w:t>
      </w:r>
      <w:r w:rsidR="005B565F" w:rsidRPr="005B565F">
        <w:rPr>
          <w:vertAlign w:val="superscript"/>
        </w:rPr>
        <w:t>th</w:t>
      </w:r>
      <w:r w:rsidR="005B565F">
        <w:t>, and 10</w:t>
      </w:r>
      <w:r w:rsidR="005B565F" w:rsidRPr="005B565F">
        <w:rPr>
          <w:vertAlign w:val="superscript"/>
        </w:rPr>
        <w:t>th</w:t>
      </w:r>
      <w:r w:rsidR="005B565F">
        <w:t xml:space="preserve"> deciles, and </w:t>
      </w:r>
      <w:r w:rsidR="00235987">
        <w:t>includes</w:t>
      </w:r>
      <w:r>
        <w:t xml:space="preserve"> individuals</w:t>
      </w:r>
      <w:r w:rsidR="00E71F7E">
        <w:t xml:space="preserve"> aged 15-64 </w:t>
      </w:r>
      <w:r>
        <w:t xml:space="preserve"> with the hi</w:t>
      </w:r>
      <w:r w:rsidR="005B565F">
        <w:t>ghest SEIFI scores, placing them in</w:t>
      </w:r>
      <w:r w:rsidR="00E21887">
        <w:t xml:space="preserve"> the least disadvantaged 30% Australians</w:t>
      </w:r>
    </w:p>
    <w:p w:rsidR="00CD5315" w:rsidRDefault="0047397C" w:rsidP="003900E5">
      <w:r w:rsidRPr="0047397C">
        <w:t xml:space="preserve">Because the SEIFI scores cannot be broken down into smaller groupings, the SEIFA </w:t>
      </w:r>
      <w:proofErr w:type="spellStart"/>
      <w:r w:rsidRPr="0047397C">
        <w:t>decile</w:t>
      </w:r>
      <w:proofErr w:type="spellEnd"/>
      <w:r w:rsidRPr="0047397C">
        <w:t xml:space="preserve"> scores will also be referred to in the corresponding SEIFI groups to simplify the comparison of data for the purposes of this report. The term ‘Group 1’ will be used to refer to individuals or areas with SEIFI or SEIFA scores that fall within deciles 1 and 2, ‘Group 2’ with deciles 3 and 4, ‘Group 3’ with deciles 5-7, and ‘Group 4’ with deciles 8-10.</w:t>
      </w:r>
    </w:p>
    <w:p w:rsidR="00D3746F" w:rsidRDefault="00D3746F" w:rsidP="00D3746F">
      <w:r>
        <w:t xml:space="preserve">The SEIFI IRSD data for the ACT was </w:t>
      </w:r>
      <w:r w:rsidR="00DA6A1F">
        <w:t xml:space="preserve">procured </w:t>
      </w:r>
      <w:r w:rsidR="000B2E3C">
        <w:t xml:space="preserve">by </w:t>
      </w:r>
      <w:r>
        <w:t xml:space="preserve">the ACT Government </w:t>
      </w:r>
      <w:r w:rsidR="00DA6A1F">
        <w:t>from the</w:t>
      </w:r>
      <w:r>
        <w:t xml:space="preserve"> Consultancy Service of the </w:t>
      </w:r>
      <w:r w:rsidR="000B2E3C">
        <w:t>ABS</w:t>
      </w:r>
      <w:r>
        <w:t xml:space="preserve">. </w:t>
      </w:r>
    </w:p>
    <w:p w:rsidR="007A0EC6" w:rsidRPr="003900E5" w:rsidRDefault="007A0EC6" w:rsidP="003900E5"/>
    <w:p w:rsidR="003740E8" w:rsidRPr="009F3990" w:rsidRDefault="003740E8">
      <w:r>
        <w:br w:type="page"/>
      </w:r>
    </w:p>
    <w:p w:rsidR="00590738" w:rsidRPr="0003288A" w:rsidRDefault="00590738" w:rsidP="00F81334">
      <w:pPr>
        <w:pStyle w:val="Heading1"/>
      </w:pPr>
      <w:bookmarkStart w:id="18" w:name="_Compendium_of_SEIFA"/>
      <w:bookmarkStart w:id="19" w:name="_Section_2:_Analysis"/>
      <w:bookmarkStart w:id="20" w:name="_Toc358033191"/>
      <w:bookmarkEnd w:id="18"/>
      <w:bookmarkEnd w:id="19"/>
      <w:r>
        <w:lastRenderedPageBreak/>
        <w:t>Section 2: Analysis and</w:t>
      </w:r>
      <w:r w:rsidR="00BE53D9">
        <w:t xml:space="preserve"> Key</w:t>
      </w:r>
      <w:r>
        <w:t xml:space="preserve"> Findings</w:t>
      </w:r>
      <w:bookmarkEnd w:id="20"/>
    </w:p>
    <w:p w:rsidR="00590738" w:rsidRDefault="00590738" w:rsidP="00590738">
      <w:pPr>
        <w:pStyle w:val="Heading2"/>
      </w:pPr>
      <w:bookmarkStart w:id="21" w:name="_Toc358033192"/>
      <w:r>
        <w:t>Distribution of Disadvantage in the ACT</w:t>
      </w:r>
      <w:bookmarkEnd w:id="21"/>
    </w:p>
    <w:p w:rsidR="00590738" w:rsidRPr="005A48B6" w:rsidRDefault="00590738" w:rsidP="00590738">
      <w:r>
        <w:rPr>
          <w:noProof/>
          <w:lang w:val="en-AU" w:eastAsia="en-AU"/>
        </w:rPr>
        <w:drawing>
          <wp:anchor distT="0" distB="0" distL="114300" distR="114300" simplePos="0" relativeHeight="251707392" behindDoc="0" locked="0" layoutInCell="1" allowOverlap="1">
            <wp:simplePos x="0" y="0"/>
            <wp:positionH relativeFrom="column">
              <wp:posOffset>533400</wp:posOffset>
            </wp:positionH>
            <wp:positionV relativeFrom="paragraph">
              <wp:posOffset>2178050</wp:posOffset>
            </wp:positionV>
            <wp:extent cx="4686300" cy="2600325"/>
            <wp:effectExtent l="19050" t="0" r="0" b="0"/>
            <wp:wrapTopAndBottom/>
            <wp:docPr id="3" name="Picture 0" descr="Wise (2011) ACT dispari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2011) ACT disparit [1].PNG"/>
                    <pic:cNvPicPr/>
                  </pic:nvPicPr>
                  <pic:blipFill>
                    <a:blip r:embed="rId10" cstate="print"/>
                    <a:srcRect t="11786" r="6355"/>
                    <a:stretch>
                      <a:fillRect/>
                    </a:stretch>
                  </pic:blipFill>
                  <pic:spPr>
                    <a:xfrm>
                      <a:off x="0" y="0"/>
                      <a:ext cx="4686300" cy="2600325"/>
                    </a:xfrm>
                    <a:prstGeom prst="rect">
                      <a:avLst/>
                    </a:prstGeom>
                    <a:ln w="31750">
                      <a:noFill/>
                      <a:prstDash val="dash"/>
                    </a:ln>
                  </pic:spPr>
                </pic:pic>
              </a:graphicData>
            </a:graphic>
          </wp:anchor>
        </w:drawing>
      </w:r>
      <w:r w:rsidR="00D67B26" w:rsidRPr="00D67B26">
        <w:rPr>
          <w:noProof/>
          <w:lang w:eastAsia="en-CA"/>
        </w:rPr>
        <w:pict>
          <v:shape id="Text Box 36" o:spid="_x0000_s1048" type="#_x0000_t202" style="position:absolute;margin-left:52.5pt;margin-top:137.75pt;width:34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vfQIAAAg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" stroked="f">
            <v:textbox style="mso-next-textbox:#Text Box 36" inset="0,0,0,0">
              <w:txbxContent>
                <w:p w:rsidR="006B6874" w:rsidRPr="00642892" w:rsidRDefault="006B6874" w:rsidP="00590738">
                  <w:pPr>
                    <w:pStyle w:val="Caption"/>
                    <w:ind w:left="851" w:hanging="851"/>
                    <w:rPr>
                      <w:bCs w:val="0"/>
                      <w:color w:val="244061" w:themeColor="accent1" w:themeShade="80"/>
                      <w:sz w:val="22"/>
                      <w:szCs w:val="22"/>
                    </w:rPr>
                  </w:pPr>
                  <w:r w:rsidRPr="00642892">
                    <w:rPr>
                      <w:bCs w:val="0"/>
                      <w:color w:val="244061" w:themeColor="accent1" w:themeShade="80"/>
                      <w:sz w:val="22"/>
                      <w:szCs w:val="22"/>
                    </w:rPr>
                    <w:t xml:space="preserve">Figure </w:t>
                  </w:r>
                  <w:r w:rsidR="00D67B26" w:rsidRPr="00642892">
                    <w:rPr>
                      <w:bCs w:val="0"/>
                      <w:color w:val="244061" w:themeColor="accent1" w:themeShade="80"/>
                      <w:sz w:val="22"/>
                      <w:szCs w:val="22"/>
                    </w:rPr>
                    <w:fldChar w:fldCharType="begin"/>
                  </w:r>
                  <w:r w:rsidRPr="00642892">
                    <w:rPr>
                      <w:bCs w:val="0"/>
                      <w:color w:val="244061" w:themeColor="accent1" w:themeShade="80"/>
                      <w:sz w:val="22"/>
                      <w:szCs w:val="22"/>
                    </w:rPr>
                    <w:instrText xml:space="preserve"> SEQ Figure \* ARABIC </w:instrText>
                  </w:r>
                  <w:r w:rsidR="00D67B26" w:rsidRPr="00642892">
                    <w:rPr>
                      <w:bCs w:val="0"/>
                      <w:color w:val="244061" w:themeColor="accent1" w:themeShade="80"/>
                      <w:sz w:val="22"/>
                      <w:szCs w:val="22"/>
                    </w:rPr>
                    <w:fldChar w:fldCharType="separate"/>
                  </w:r>
                  <w:r w:rsidR="008230AD">
                    <w:rPr>
                      <w:bCs w:val="0"/>
                      <w:noProof/>
                      <w:color w:val="244061" w:themeColor="accent1" w:themeShade="80"/>
                      <w:sz w:val="22"/>
                      <w:szCs w:val="22"/>
                    </w:rPr>
                    <w:t>1</w:t>
                  </w:r>
                  <w:r w:rsidR="00D67B26" w:rsidRPr="00642892">
                    <w:rPr>
                      <w:bCs w:val="0"/>
                      <w:color w:val="244061" w:themeColor="accent1" w:themeShade="80"/>
                      <w:sz w:val="22"/>
                      <w:szCs w:val="22"/>
                    </w:rPr>
                    <w:fldChar w:fldCharType="end"/>
                  </w:r>
                  <w:r w:rsidRPr="00642892">
                    <w:rPr>
                      <w:bCs w:val="0"/>
                      <w:color w:val="244061" w:themeColor="accent1" w:themeShade="80"/>
                      <w:sz w:val="22"/>
                      <w:szCs w:val="22"/>
                    </w:rPr>
                    <w:t xml:space="preserve">: Percentage of individuals from SEIFI IRSD Group 1 residing in areas classified by SEIFA IRSD CD </w:t>
                  </w:r>
                  <w:proofErr w:type="spellStart"/>
                  <w:r w:rsidRPr="00642892">
                    <w:rPr>
                      <w:bCs w:val="0"/>
                      <w:color w:val="244061" w:themeColor="accent1" w:themeShade="80"/>
                      <w:sz w:val="22"/>
                      <w:szCs w:val="22"/>
                    </w:rPr>
                    <w:t>decile</w:t>
                  </w:r>
                  <w:proofErr w:type="spellEnd"/>
                  <w:r w:rsidRPr="00642892">
                    <w:rPr>
                      <w:bCs w:val="0"/>
                      <w:color w:val="244061" w:themeColor="accent1" w:themeShade="80"/>
                      <w:sz w:val="22"/>
                      <w:szCs w:val="22"/>
                    </w:rPr>
                    <w:t>, by state and territory</w:t>
                  </w:r>
                </w:p>
              </w:txbxContent>
            </v:textbox>
            <w10:wrap type="topAndBottom"/>
          </v:shape>
        </w:pict>
      </w:r>
      <w:r>
        <w:t xml:space="preserve">From their analysis of the SEIFI data, Wise and Mathews (2011) demonstrated that more than half of the most disadvantaged ACT residents aged 15 to 64 live in areas with a SEIFA IRSD </w:t>
      </w:r>
      <w:proofErr w:type="spellStart"/>
      <w:r>
        <w:t>decile</w:t>
      </w:r>
      <w:proofErr w:type="spellEnd"/>
      <w:r>
        <w:t xml:space="preserve"> score of 6 or higher. When classifying the ACT’s Group 1 population by the SEIFA score of the area they reside in, the percentage of Group 1 </w:t>
      </w:r>
      <w:proofErr w:type="gramStart"/>
      <w:r>
        <w:t>residents</w:t>
      </w:r>
      <w:proofErr w:type="gramEnd"/>
      <w:r>
        <w:t xml:space="preserve"> </w:t>
      </w:r>
      <w:r w:rsidR="008871CA">
        <w:t>increases</w:t>
      </w:r>
      <w:r>
        <w:t xml:space="preserve"> as the SEIFA </w:t>
      </w:r>
      <w:proofErr w:type="spellStart"/>
      <w:r>
        <w:t>decile</w:t>
      </w:r>
      <w:proofErr w:type="spellEnd"/>
      <w:r>
        <w:t xml:space="preserve"> </w:t>
      </w:r>
      <w:r w:rsidR="00000B31">
        <w:t>score becomes greater</w:t>
      </w:r>
      <w:r>
        <w:t xml:space="preserve">. In other words, while </w:t>
      </w:r>
      <w:r w:rsidR="000C0253">
        <w:t xml:space="preserve">the </w:t>
      </w:r>
      <w:r>
        <w:t>SEIFA</w:t>
      </w:r>
      <w:r w:rsidR="004353C2">
        <w:t xml:space="preserve"> score</w:t>
      </w:r>
      <w:r>
        <w:t xml:space="preserve"> is indicating that relative socio-economic disadvantage is decreasing, the number of disadvantaged residents is increasing</w:t>
      </w:r>
      <w:r w:rsidR="00292A44">
        <w:t xml:space="preserve"> (</w:t>
      </w:r>
      <w:r w:rsidR="00505599" w:rsidRPr="001F7B92">
        <w:rPr>
          <w:b/>
        </w:rPr>
        <w:t>Table 2</w:t>
      </w:r>
      <w:r w:rsidR="00292A44">
        <w:t>)</w:t>
      </w:r>
      <w:r>
        <w:t xml:space="preserve">. As demonstrated in </w:t>
      </w:r>
      <w:r w:rsidR="008871CA" w:rsidRPr="001F7B92">
        <w:rPr>
          <w:b/>
        </w:rPr>
        <w:t>Figure 1</w:t>
      </w:r>
      <w:r w:rsidRPr="00476EE6">
        <w:t xml:space="preserve">, </w:t>
      </w:r>
      <w:r>
        <w:t>this conflicti</w:t>
      </w:r>
      <w:r w:rsidR="00505599">
        <w:t>ng trend is unique to the ACT; i</w:t>
      </w:r>
      <w:r>
        <w:t xml:space="preserve">n the remaining Australian jurisdictions, the proportion of the Group 1 residents </w:t>
      </w:r>
      <w:r w:rsidR="002018F5">
        <w:t xml:space="preserve">aged 15-64 </w:t>
      </w:r>
      <w:r w:rsidR="000C0253">
        <w:t>decreases as relative area-level</w:t>
      </w:r>
      <w:r>
        <w:t xml:space="preserve"> disadvantage decreases. </w:t>
      </w:r>
    </w:p>
    <w:p w:rsidR="00590738" w:rsidRDefault="00D67B26" w:rsidP="00590738">
      <w:r w:rsidRPr="00D67B26">
        <w:rPr>
          <w:noProof/>
          <w:lang w:eastAsia="en-CA"/>
        </w:rPr>
        <w:pict>
          <v:shape id="Text Box 37" o:spid="_x0000_s1049" type="#_x0000_t202" style="position:absolute;margin-left:69.95pt;margin-top:253.2pt;width:318.75pt;height:21.95pt;z-index:2517145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Text Box 37" inset="0,0,0,0">
              <w:txbxContent>
                <w:p w:rsidR="006B6874" w:rsidRPr="003610C9" w:rsidRDefault="006B6874" w:rsidP="00590738">
                  <w:pPr>
                    <w:rPr>
                      <w:color w:val="808080" w:themeColor="background1" w:themeShade="80"/>
                      <w:sz w:val="16"/>
                      <w:szCs w:val="16"/>
                    </w:rPr>
                  </w:pPr>
                  <w:proofErr w:type="gramStart"/>
                  <w:r w:rsidRPr="003610C9">
                    <w:rPr>
                      <w:color w:val="808080" w:themeColor="background1" w:themeShade="80"/>
                      <w:sz w:val="16"/>
                      <w:szCs w:val="16"/>
                    </w:rPr>
                    <w:t>Adapted from: Commonwealth Grants Commission (2010)</w:t>
                  </w:r>
                  <w:r>
                    <w:rPr>
                      <w:color w:val="808080" w:themeColor="background1" w:themeShade="80"/>
                      <w:sz w:val="16"/>
                      <w:szCs w:val="16"/>
                    </w:rPr>
                    <w:t>.</w:t>
                  </w:r>
                  <w:proofErr w:type="gramEnd"/>
                  <w:r>
                    <w:rPr>
                      <w:color w:val="808080" w:themeColor="background1" w:themeShade="80"/>
                      <w:sz w:val="16"/>
                      <w:szCs w:val="16"/>
                    </w:rPr>
                    <w:t xml:space="preserve"> Report on GST Revenue Sharing Relativities – 2010 Review, Volume 2: Assessments of State Fiscal Capacities. </w:t>
                  </w:r>
                </w:p>
              </w:txbxContent>
            </v:textbox>
          </v:shape>
        </w:pict>
      </w:r>
    </w:p>
    <w:p w:rsidR="00505599" w:rsidRDefault="00505599" w:rsidP="00505599">
      <w:pPr>
        <w:pStyle w:val="ListParagraph"/>
        <w:ind w:left="993"/>
        <w:rPr>
          <w:b/>
          <w:color w:val="244061" w:themeColor="accent1" w:themeShade="80"/>
        </w:rPr>
      </w:pPr>
    </w:p>
    <w:p w:rsidR="00590738" w:rsidRPr="00302828" w:rsidRDefault="005B64A0" w:rsidP="005B64A0">
      <w:pPr>
        <w:pStyle w:val="ListParagraph"/>
        <w:numPr>
          <w:ilvl w:val="0"/>
          <w:numId w:val="4"/>
        </w:numPr>
        <w:spacing w:after="0"/>
        <w:ind w:left="993" w:hanging="993"/>
        <w:rPr>
          <w:b/>
          <w:color w:val="244061" w:themeColor="accent1" w:themeShade="80"/>
        </w:rPr>
      </w:pPr>
      <w:r w:rsidRPr="005B64A0">
        <w:rPr>
          <w:b/>
          <w:color w:val="244061" w:themeColor="accent1" w:themeShade="80"/>
        </w:rPr>
        <w:t xml:space="preserve">Frequency table of SEIFI IRSD Groups by SEIFA IRSD </w:t>
      </w:r>
      <w:proofErr w:type="spellStart"/>
      <w:r w:rsidRPr="005B64A0">
        <w:rPr>
          <w:b/>
          <w:color w:val="244061" w:themeColor="accent1" w:themeShade="80"/>
        </w:rPr>
        <w:t>decile</w:t>
      </w:r>
      <w:proofErr w:type="spellEnd"/>
      <w:r w:rsidRPr="005B64A0">
        <w:rPr>
          <w:b/>
          <w:color w:val="244061" w:themeColor="accent1" w:themeShade="80"/>
        </w:rPr>
        <w:t xml:space="preserve"> score of collection district of residence (15-64 year old population)</w:t>
      </w:r>
    </w:p>
    <w:tbl>
      <w:tblPr>
        <w:tblStyle w:val="MediumList1-Accent5"/>
        <w:tblW w:w="0" w:type="auto"/>
        <w:tblLook w:val="05E0"/>
      </w:tblPr>
      <w:tblGrid>
        <w:gridCol w:w="790"/>
        <w:gridCol w:w="737"/>
        <w:gridCol w:w="738"/>
        <w:gridCol w:w="738"/>
        <w:gridCol w:w="738"/>
        <w:gridCol w:w="738"/>
        <w:gridCol w:w="831"/>
        <w:gridCol w:w="831"/>
        <w:gridCol w:w="831"/>
        <w:gridCol w:w="831"/>
        <w:gridCol w:w="823"/>
        <w:gridCol w:w="8"/>
        <w:gridCol w:w="942"/>
      </w:tblGrid>
      <w:tr w:rsidR="00590738" w:rsidTr="005B64A0">
        <w:trPr>
          <w:cnfStyle w:val="100000000000"/>
          <w:trHeight w:val="285"/>
        </w:trPr>
        <w:tc>
          <w:tcPr>
            <w:cnfStyle w:val="001000000000"/>
            <w:tcW w:w="790" w:type="dxa"/>
            <w:vMerge w:val="restart"/>
            <w:tcBorders>
              <w:top w:val="single" w:sz="4" w:space="0" w:color="4BACC6" w:themeColor="accent5"/>
              <w:left w:val="single" w:sz="4" w:space="0" w:color="4BACC6" w:themeColor="accent5"/>
              <w:right w:val="single" w:sz="4" w:space="0" w:color="4BACC6" w:themeColor="accent5"/>
            </w:tcBorders>
          </w:tcPr>
          <w:p w:rsidR="00590738" w:rsidRPr="002839E1" w:rsidRDefault="00590738" w:rsidP="00AA1B9F">
            <w:pPr>
              <w:rPr>
                <w:rFonts w:ascii="Calibri" w:hAnsi="Calibri" w:cs="Calibri"/>
                <w:color w:val="244061" w:themeColor="accent1" w:themeShade="80"/>
              </w:rPr>
            </w:pPr>
            <w:r w:rsidRPr="002839E1">
              <w:rPr>
                <w:rFonts w:ascii="Calibri" w:hAnsi="Calibri" w:cs="Calibri"/>
                <w:color w:val="244061" w:themeColor="accent1" w:themeShade="80"/>
              </w:rPr>
              <w:t>SEIFI Group</w:t>
            </w:r>
          </w:p>
        </w:tc>
        <w:tc>
          <w:tcPr>
            <w:tcW w:w="7836" w:type="dxa"/>
            <w:gridSpan w:val="10"/>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590738" w:rsidRPr="002839E1" w:rsidRDefault="00590738" w:rsidP="00AA1B9F">
            <w:pPr>
              <w:spacing w:after="120"/>
              <w:jc w:val="center"/>
              <w:cnfStyle w:val="100000000000"/>
              <w:rPr>
                <w:rFonts w:ascii="Calibri" w:hAnsi="Calibri" w:cs="Calibri"/>
                <w:b/>
                <w:color w:val="244061" w:themeColor="accent1" w:themeShade="80"/>
              </w:rPr>
            </w:pPr>
            <w:r w:rsidRPr="002839E1">
              <w:rPr>
                <w:rFonts w:ascii="Calibri" w:hAnsi="Calibri" w:cs="Calibri"/>
                <w:b/>
                <w:color w:val="244061" w:themeColor="accent1" w:themeShade="80"/>
              </w:rPr>
              <w:t xml:space="preserve">SEIFA </w:t>
            </w:r>
            <w:proofErr w:type="spellStart"/>
            <w:r w:rsidRPr="002839E1">
              <w:rPr>
                <w:rFonts w:ascii="Calibri" w:hAnsi="Calibri" w:cs="Calibri"/>
                <w:b/>
                <w:color w:val="244061" w:themeColor="accent1" w:themeShade="80"/>
              </w:rPr>
              <w:t>Decile</w:t>
            </w:r>
            <w:proofErr w:type="spellEnd"/>
          </w:p>
        </w:tc>
        <w:tc>
          <w:tcPr>
            <w:cnfStyle w:val="000100000000"/>
            <w:tcW w:w="950"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590738" w:rsidRPr="002839E1" w:rsidRDefault="00590738" w:rsidP="00AA1B9F">
            <w:pPr>
              <w:spacing w:after="120"/>
              <w:jc w:val="center"/>
              <w:rPr>
                <w:rFonts w:ascii="Calibri" w:hAnsi="Calibri" w:cs="Calibri"/>
                <w:b w:val="0"/>
                <w:bCs w:val="0"/>
                <w:color w:val="244061" w:themeColor="accent1" w:themeShade="80"/>
              </w:rPr>
            </w:pPr>
          </w:p>
        </w:tc>
      </w:tr>
      <w:tr w:rsidR="00590738" w:rsidTr="005B64A0">
        <w:trPr>
          <w:cnfStyle w:val="000000100000"/>
          <w:trHeight w:val="251"/>
        </w:trPr>
        <w:tc>
          <w:tcPr>
            <w:cnfStyle w:val="001000000000"/>
            <w:tcW w:w="790" w:type="dxa"/>
            <w:vMerge/>
            <w:tcBorders>
              <w:left w:val="single" w:sz="4" w:space="0" w:color="4BACC6" w:themeColor="accent5"/>
              <w:bottom w:val="single" w:sz="4" w:space="0" w:color="4BACC6" w:themeColor="accent5"/>
              <w:right w:val="single" w:sz="4" w:space="0" w:color="4BACC6" w:themeColor="accent5"/>
            </w:tcBorders>
          </w:tcPr>
          <w:p w:rsidR="00590738" w:rsidRPr="002839E1" w:rsidRDefault="00590738" w:rsidP="00AA1B9F">
            <w:pPr>
              <w:rPr>
                <w:rFonts w:ascii="Calibri" w:hAnsi="Calibri" w:cs="Calibri"/>
                <w:color w:val="244061" w:themeColor="accent1" w:themeShade="80"/>
              </w:rPr>
            </w:pPr>
          </w:p>
        </w:tc>
        <w:tc>
          <w:tcPr>
            <w:tcW w:w="737" w:type="dxa"/>
            <w:tcBorders>
              <w:top w:val="single" w:sz="4" w:space="0" w:color="4BACC6" w:themeColor="accent5"/>
              <w:left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1</w:t>
            </w:r>
          </w:p>
        </w:tc>
        <w:tc>
          <w:tcPr>
            <w:tcW w:w="738"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2</w:t>
            </w:r>
          </w:p>
        </w:tc>
        <w:tc>
          <w:tcPr>
            <w:tcW w:w="738"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3</w:t>
            </w:r>
          </w:p>
        </w:tc>
        <w:tc>
          <w:tcPr>
            <w:tcW w:w="738"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4</w:t>
            </w:r>
          </w:p>
        </w:tc>
        <w:tc>
          <w:tcPr>
            <w:tcW w:w="738"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5</w:t>
            </w:r>
          </w:p>
        </w:tc>
        <w:tc>
          <w:tcPr>
            <w:tcW w:w="831"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6</w:t>
            </w:r>
          </w:p>
        </w:tc>
        <w:tc>
          <w:tcPr>
            <w:tcW w:w="831"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7</w:t>
            </w:r>
          </w:p>
        </w:tc>
        <w:tc>
          <w:tcPr>
            <w:tcW w:w="831"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8</w:t>
            </w:r>
          </w:p>
        </w:tc>
        <w:tc>
          <w:tcPr>
            <w:tcW w:w="831" w:type="dxa"/>
            <w:tcBorders>
              <w:top w:val="single" w:sz="4" w:space="0" w:color="4BACC6" w:themeColor="accent5"/>
              <w:bottom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9</w:t>
            </w:r>
          </w:p>
        </w:tc>
        <w:tc>
          <w:tcPr>
            <w:tcW w:w="831" w:type="dxa"/>
            <w:gridSpan w:val="2"/>
            <w:tcBorders>
              <w:top w:val="single" w:sz="4" w:space="0" w:color="4BACC6" w:themeColor="accent5"/>
              <w:bottom w:val="single" w:sz="4" w:space="0" w:color="4BACC6" w:themeColor="accent5"/>
              <w:right w:val="single" w:sz="4" w:space="0" w:color="4BACC6" w:themeColor="accent5"/>
            </w:tcBorders>
          </w:tcPr>
          <w:p w:rsidR="00590738" w:rsidRPr="002839E1" w:rsidRDefault="00590738" w:rsidP="00AA1B9F">
            <w:pPr>
              <w:jc w:val="right"/>
              <w:cnfStyle w:val="000000100000"/>
              <w:rPr>
                <w:rFonts w:ascii="Calibri" w:hAnsi="Calibri" w:cs="Calibri"/>
                <w:b/>
                <w:color w:val="244061" w:themeColor="accent1" w:themeShade="80"/>
              </w:rPr>
            </w:pPr>
            <w:r w:rsidRPr="002839E1">
              <w:rPr>
                <w:rFonts w:ascii="Calibri" w:hAnsi="Calibri" w:cs="Calibri"/>
                <w:b/>
                <w:color w:val="244061" w:themeColor="accent1" w:themeShade="80"/>
              </w:rPr>
              <w:t>10</w:t>
            </w:r>
          </w:p>
        </w:tc>
        <w:tc>
          <w:tcPr>
            <w:cnfStyle w:val="000100000000"/>
            <w:tcW w:w="942" w:type="dxa"/>
            <w:tcBorders>
              <w:top w:val="nil"/>
              <w:left w:val="single" w:sz="4" w:space="0" w:color="4BACC6" w:themeColor="accent5"/>
              <w:bottom w:val="single" w:sz="4" w:space="0" w:color="4BACC6" w:themeColor="accent5"/>
              <w:right w:val="single" w:sz="4" w:space="0" w:color="4BACC6" w:themeColor="accent5"/>
            </w:tcBorders>
          </w:tcPr>
          <w:p w:rsidR="00590738" w:rsidRPr="002839E1" w:rsidRDefault="00590738" w:rsidP="00AA1B9F">
            <w:pPr>
              <w:rPr>
                <w:rFonts w:ascii="Calibri" w:hAnsi="Calibri" w:cs="Calibri"/>
                <w:b w:val="0"/>
                <w:color w:val="244061" w:themeColor="accent1" w:themeShade="80"/>
              </w:rPr>
            </w:pPr>
            <w:r w:rsidRPr="002839E1">
              <w:rPr>
                <w:rFonts w:ascii="Calibri" w:hAnsi="Calibri" w:cs="Calibri"/>
                <w:b w:val="0"/>
                <w:color w:val="244061" w:themeColor="accent1" w:themeShade="80"/>
              </w:rPr>
              <w:t>Total</w:t>
            </w:r>
          </w:p>
        </w:tc>
      </w:tr>
      <w:tr w:rsidR="00590738" w:rsidTr="005B64A0">
        <w:tc>
          <w:tcPr>
            <w:cnfStyle w:val="001000000000"/>
            <w:tcW w:w="790" w:type="dxa"/>
            <w:tcBorders>
              <w:top w:val="single" w:sz="4" w:space="0" w:color="4BACC6" w:themeColor="accent5"/>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color w:val="244061" w:themeColor="accent1" w:themeShade="80"/>
              </w:rPr>
            </w:pPr>
            <w:r w:rsidRPr="002839E1">
              <w:rPr>
                <w:rFonts w:ascii="Calibri" w:hAnsi="Calibri" w:cs="Calibri"/>
                <w:color w:val="244061" w:themeColor="accent1" w:themeShade="80"/>
              </w:rPr>
              <w:t>1</w:t>
            </w:r>
          </w:p>
        </w:tc>
        <w:tc>
          <w:tcPr>
            <w:tcW w:w="737" w:type="dxa"/>
            <w:tcBorders>
              <w:top w:val="single" w:sz="4" w:space="0" w:color="4BACC6" w:themeColor="accent5"/>
              <w:left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944</w:t>
            </w:r>
          </w:p>
        </w:tc>
        <w:tc>
          <w:tcPr>
            <w:tcW w:w="738"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783</w:t>
            </w:r>
          </w:p>
        </w:tc>
        <w:tc>
          <w:tcPr>
            <w:tcW w:w="738"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1,074</w:t>
            </w:r>
          </w:p>
        </w:tc>
        <w:tc>
          <w:tcPr>
            <w:tcW w:w="738"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2,183</w:t>
            </w:r>
          </w:p>
        </w:tc>
        <w:tc>
          <w:tcPr>
            <w:tcW w:w="738"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1,851</w:t>
            </w:r>
          </w:p>
        </w:tc>
        <w:tc>
          <w:tcPr>
            <w:tcW w:w="831"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4,052</w:t>
            </w:r>
          </w:p>
        </w:tc>
        <w:tc>
          <w:tcPr>
            <w:tcW w:w="831"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5,026</w:t>
            </w:r>
          </w:p>
        </w:tc>
        <w:tc>
          <w:tcPr>
            <w:tcW w:w="831"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5,479</w:t>
            </w:r>
          </w:p>
        </w:tc>
        <w:tc>
          <w:tcPr>
            <w:tcW w:w="831" w:type="dxa"/>
            <w:tcBorders>
              <w:top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4,115</w:t>
            </w:r>
          </w:p>
        </w:tc>
        <w:tc>
          <w:tcPr>
            <w:tcW w:w="831" w:type="dxa"/>
            <w:gridSpan w:val="2"/>
            <w:tcBorders>
              <w:top w:val="single" w:sz="4" w:space="0" w:color="4BACC6" w:themeColor="accent5"/>
              <w:right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3,132</w:t>
            </w:r>
          </w:p>
        </w:tc>
        <w:tc>
          <w:tcPr>
            <w:cnfStyle w:val="000100000000"/>
            <w:tcW w:w="942" w:type="dxa"/>
            <w:tcBorders>
              <w:top w:val="single" w:sz="4" w:space="0" w:color="4BACC6" w:themeColor="accent5"/>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b w:val="0"/>
                <w:color w:val="244061" w:themeColor="accent1" w:themeShade="80"/>
              </w:rPr>
            </w:pPr>
            <w:r w:rsidRPr="002839E1">
              <w:rPr>
                <w:rFonts w:ascii="Calibri" w:hAnsi="Calibri" w:cs="Calibri"/>
                <w:b w:val="0"/>
                <w:color w:val="244061" w:themeColor="accent1" w:themeShade="80"/>
              </w:rPr>
              <w:t>28,639</w:t>
            </w:r>
          </w:p>
        </w:tc>
      </w:tr>
      <w:tr w:rsidR="00590738" w:rsidTr="005B64A0">
        <w:trPr>
          <w:cnfStyle w:val="000000100000"/>
        </w:trPr>
        <w:tc>
          <w:tcPr>
            <w:cnfStyle w:val="001000000000"/>
            <w:tcW w:w="790"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color w:val="244061" w:themeColor="accent1" w:themeShade="80"/>
              </w:rPr>
            </w:pPr>
            <w:r w:rsidRPr="002839E1">
              <w:rPr>
                <w:rFonts w:ascii="Calibri" w:hAnsi="Calibri" w:cs="Calibri"/>
                <w:color w:val="244061" w:themeColor="accent1" w:themeShade="80"/>
              </w:rPr>
              <w:t>2</w:t>
            </w:r>
          </w:p>
        </w:tc>
        <w:tc>
          <w:tcPr>
            <w:tcW w:w="737" w:type="dxa"/>
            <w:tcBorders>
              <w:left w:val="single" w:sz="4" w:space="0" w:color="4BACC6" w:themeColor="accent5"/>
            </w:tcBorders>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175</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197</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423</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1,108</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1,092</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2,953</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4,184</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5,318</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5,273</w:t>
            </w:r>
          </w:p>
        </w:tc>
        <w:tc>
          <w:tcPr>
            <w:tcW w:w="831" w:type="dxa"/>
            <w:gridSpan w:val="2"/>
            <w:tcBorders>
              <w:right w:val="single" w:sz="4" w:space="0" w:color="4BACC6" w:themeColor="accent5"/>
            </w:tcBorders>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5,277</w:t>
            </w:r>
          </w:p>
        </w:tc>
        <w:tc>
          <w:tcPr>
            <w:cnfStyle w:val="000100000000"/>
            <w:tcW w:w="942"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b w:val="0"/>
                <w:color w:val="244061" w:themeColor="accent1" w:themeShade="80"/>
              </w:rPr>
            </w:pPr>
            <w:r w:rsidRPr="002839E1">
              <w:rPr>
                <w:rFonts w:ascii="Calibri" w:hAnsi="Calibri" w:cs="Calibri"/>
                <w:b w:val="0"/>
                <w:color w:val="244061" w:themeColor="accent1" w:themeShade="80"/>
              </w:rPr>
              <w:t>26,001</w:t>
            </w:r>
          </w:p>
        </w:tc>
      </w:tr>
      <w:tr w:rsidR="00590738" w:rsidTr="005B64A0">
        <w:tc>
          <w:tcPr>
            <w:cnfStyle w:val="001000000000"/>
            <w:tcW w:w="790"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color w:val="244061" w:themeColor="accent1" w:themeShade="80"/>
              </w:rPr>
            </w:pPr>
            <w:r w:rsidRPr="002839E1">
              <w:rPr>
                <w:rFonts w:ascii="Calibri" w:hAnsi="Calibri" w:cs="Calibri"/>
                <w:color w:val="244061" w:themeColor="accent1" w:themeShade="80"/>
              </w:rPr>
              <w:t>3</w:t>
            </w:r>
          </w:p>
        </w:tc>
        <w:tc>
          <w:tcPr>
            <w:tcW w:w="737" w:type="dxa"/>
            <w:tcBorders>
              <w:left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483</w:t>
            </w:r>
          </w:p>
        </w:tc>
        <w:tc>
          <w:tcPr>
            <w:tcW w:w="738"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496</w:t>
            </w:r>
          </w:p>
        </w:tc>
        <w:tc>
          <w:tcPr>
            <w:tcW w:w="738"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1,052</w:t>
            </w:r>
          </w:p>
        </w:tc>
        <w:tc>
          <w:tcPr>
            <w:tcW w:w="738"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2,572</w:t>
            </w:r>
          </w:p>
        </w:tc>
        <w:tc>
          <w:tcPr>
            <w:tcW w:w="738"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2,666</w:t>
            </w:r>
          </w:p>
        </w:tc>
        <w:tc>
          <w:tcPr>
            <w:tcW w:w="831"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6,640</w:t>
            </w:r>
          </w:p>
        </w:tc>
        <w:tc>
          <w:tcPr>
            <w:tcW w:w="831"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10,491</w:t>
            </w:r>
          </w:p>
        </w:tc>
        <w:tc>
          <w:tcPr>
            <w:tcW w:w="831"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14,410</w:t>
            </w:r>
          </w:p>
        </w:tc>
        <w:tc>
          <w:tcPr>
            <w:tcW w:w="831" w:type="dxa"/>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15,196</w:t>
            </w:r>
          </w:p>
        </w:tc>
        <w:tc>
          <w:tcPr>
            <w:tcW w:w="831" w:type="dxa"/>
            <w:gridSpan w:val="2"/>
            <w:tcBorders>
              <w:right w:val="single" w:sz="4" w:space="0" w:color="4BACC6" w:themeColor="accent5"/>
            </w:tcBorders>
          </w:tcPr>
          <w:p w:rsidR="00590738" w:rsidRPr="002839E1" w:rsidRDefault="00590738" w:rsidP="00AA1B9F">
            <w:pPr>
              <w:jc w:val="right"/>
              <w:cnfStyle w:val="000000000000"/>
              <w:rPr>
                <w:rFonts w:ascii="Calibri" w:hAnsi="Calibri" w:cs="Calibri"/>
                <w:color w:val="244061" w:themeColor="accent1" w:themeShade="80"/>
              </w:rPr>
            </w:pPr>
            <w:r w:rsidRPr="002839E1">
              <w:rPr>
                <w:rFonts w:ascii="Calibri" w:hAnsi="Calibri" w:cs="Calibri"/>
                <w:color w:val="244061" w:themeColor="accent1" w:themeShade="80"/>
              </w:rPr>
              <w:t>20,462</w:t>
            </w:r>
          </w:p>
        </w:tc>
        <w:tc>
          <w:tcPr>
            <w:cnfStyle w:val="000100000000"/>
            <w:tcW w:w="942"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b w:val="0"/>
                <w:color w:val="244061" w:themeColor="accent1" w:themeShade="80"/>
              </w:rPr>
            </w:pPr>
            <w:r w:rsidRPr="002839E1">
              <w:rPr>
                <w:rFonts w:ascii="Calibri" w:hAnsi="Calibri" w:cs="Calibri"/>
                <w:b w:val="0"/>
                <w:color w:val="244061" w:themeColor="accent1" w:themeShade="80"/>
              </w:rPr>
              <w:t>74,467</w:t>
            </w:r>
          </w:p>
        </w:tc>
      </w:tr>
      <w:tr w:rsidR="00590738" w:rsidTr="005B64A0">
        <w:trPr>
          <w:cnfStyle w:val="000000100000"/>
        </w:trPr>
        <w:tc>
          <w:tcPr>
            <w:cnfStyle w:val="001000000000"/>
            <w:tcW w:w="790"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color w:val="244061" w:themeColor="accent1" w:themeShade="80"/>
              </w:rPr>
            </w:pPr>
            <w:r w:rsidRPr="002839E1">
              <w:rPr>
                <w:rFonts w:ascii="Calibri" w:hAnsi="Calibri" w:cs="Calibri"/>
                <w:color w:val="244061" w:themeColor="accent1" w:themeShade="80"/>
              </w:rPr>
              <w:t>4</w:t>
            </w:r>
          </w:p>
        </w:tc>
        <w:tc>
          <w:tcPr>
            <w:tcW w:w="737" w:type="dxa"/>
            <w:tcBorders>
              <w:left w:val="single" w:sz="4" w:space="0" w:color="4BACC6" w:themeColor="accent5"/>
            </w:tcBorders>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632</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835</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1,414</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3,237</w:t>
            </w:r>
          </w:p>
        </w:tc>
        <w:tc>
          <w:tcPr>
            <w:tcW w:w="738"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3,259</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7,661</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12,798</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17,764</w:t>
            </w:r>
          </w:p>
        </w:tc>
        <w:tc>
          <w:tcPr>
            <w:tcW w:w="831" w:type="dxa"/>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19,484</w:t>
            </w:r>
          </w:p>
        </w:tc>
        <w:tc>
          <w:tcPr>
            <w:tcW w:w="831" w:type="dxa"/>
            <w:gridSpan w:val="2"/>
            <w:tcBorders>
              <w:right w:val="single" w:sz="4" w:space="0" w:color="4BACC6" w:themeColor="accent5"/>
            </w:tcBorders>
          </w:tcPr>
          <w:p w:rsidR="00590738" w:rsidRPr="002839E1" w:rsidRDefault="00590738" w:rsidP="00AA1B9F">
            <w:pPr>
              <w:jc w:val="right"/>
              <w:cnfStyle w:val="000000100000"/>
              <w:rPr>
                <w:rFonts w:ascii="Calibri" w:hAnsi="Calibri" w:cs="Calibri"/>
                <w:color w:val="244061" w:themeColor="accent1" w:themeShade="80"/>
              </w:rPr>
            </w:pPr>
            <w:r w:rsidRPr="002839E1">
              <w:rPr>
                <w:rFonts w:ascii="Calibri" w:hAnsi="Calibri" w:cs="Calibri"/>
                <w:color w:val="244061" w:themeColor="accent1" w:themeShade="80"/>
              </w:rPr>
              <w:t>31,178</w:t>
            </w:r>
          </w:p>
        </w:tc>
        <w:tc>
          <w:tcPr>
            <w:cnfStyle w:val="000100000000"/>
            <w:tcW w:w="942"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b w:val="0"/>
                <w:color w:val="244061" w:themeColor="accent1" w:themeShade="80"/>
              </w:rPr>
            </w:pPr>
            <w:r w:rsidRPr="002839E1">
              <w:rPr>
                <w:rFonts w:ascii="Calibri" w:hAnsi="Calibri" w:cs="Calibri"/>
                <w:b w:val="0"/>
                <w:color w:val="244061" w:themeColor="accent1" w:themeShade="80"/>
              </w:rPr>
              <w:t>98,262</w:t>
            </w:r>
          </w:p>
        </w:tc>
      </w:tr>
      <w:tr w:rsidR="00590738" w:rsidTr="005B64A0">
        <w:trPr>
          <w:cnfStyle w:val="010000000000"/>
        </w:trPr>
        <w:tc>
          <w:tcPr>
            <w:cnfStyle w:val="001000000000"/>
            <w:tcW w:w="790" w:type="dxa"/>
            <w:tcBorders>
              <w:left w:val="single" w:sz="4" w:space="0" w:color="4BACC6" w:themeColor="accent5"/>
              <w:right w:val="single" w:sz="4" w:space="0" w:color="4BACC6" w:themeColor="accent5"/>
            </w:tcBorders>
          </w:tcPr>
          <w:p w:rsidR="00590738" w:rsidRPr="002839E1" w:rsidRDefault="00D67B26" w:rsidP="00AA1B9F">
            <w:pPr>
              <w:rPr>
                <w:rFonts w:ascii="Calibri" w:hAnsi="Calibri" w:cs="Calibri"/>
                <w:b w:val="0"/>
                <w:color w:val="244061" w:themeColor="accent1" w:themeShade="80"/>
              </w:rPr>
            </w:pPr>
            <w:r w:rsidRPr="00D67B26">
              <w:rPr>
                <w:rFonts w:ascii="Calibri" w:hAnsi="Calibri" w:cs="Calibri"/>
                <w:b w:val="0"/>
                <w:noProof/>
                <w:color w:val="244061" w:themeColor="accent1" w:themeShade="80"/>
                <w:lang w:val="en-AU" w:eastAsia="en-AU"/>
              </w:rPr>
              <w:pict>
                <v:shape id="_x0000_s1051" type="#_x0000_t202" style="position:absolute;margin-left:2.7pt;margin-top:20.2pt;width:318.75pt;height:10.7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51" inset="0,0,0,0">
                    <w:txbxContent>
                      <w:p w:rsidR="006B6874" w:rsidRPr="003610C9" w:rsidRDefault="006B6874" w:rsidP="00292A44">
                        <w:pPr>
                          <w:cnfStyle w:val="011000000000"/>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txbxContent>
                  </v:textbox>
                </v:shape>
              </w:pict>
            </w:r>
            <w:r w:rsidR="00590738" w:rsidRPr="002839E1">
              <w:rPr>
                <w:rFonts w:ascii="Calibri" w:hAnsi="Calibri" w:cs="Calibri"/>
                <w:b w:val="0"/>
                <w:color w:val="244061" w:themeColor="accent1" w:themeShade="80"/>
              </w:rPr>
              <w:t>Total</w:t>
            </w:r>
          </w:p>
        </w:tc>
        <w:tc>
          <w:tcPr>
            <w:tcW w:w="737" w:type="dxa"/>
            <w:tcBorders>
              <w:left w:val="single" w:sz="4" w:space="0" w:color="4BACC6" w:themeColor="accent5"/>
            </w:tcBorders>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2,234</w:t>
            </w:r>
          </w:p>
        </w:tc>
        <w:tc>
          <w:tcPr>
            <w:tcW w:w="738"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2,311</w:t>
            </w:r>
          </w:p>
        </w:tc>
        <w:tc>
          <w:tcPr>
            <w:tcW w:w="738"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3,962</w:t>
            </w:r>
          </w:p>
        </w:tc>
        <w:tc>
          <w:tcPr>
            <w:tcW w:w="738"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9,100</w:t>
            </w:r>
          </w:p>
        </w:tc>
        <w:tc>
          <w:tcPr>
            <w:tcW w:w="738"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8,868</w:t>
            </w:r>
          </w:p>
        </w:tc>
        <w:tc>
          <w:tcPr>
            <w:tcW w:w="831"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21,306</w:t>
            </w:r>
          </w:p>
        </w:tc>
        <w:tc>
          <w:tcPr>
            <w:tcW w:w="831"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32,500</w:t>
            </w:r>
          </w:p>
        </w:tc>
        <w:tc>
          <w:tcPr>
            <w:tcW w:w="831"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42,971</w:t>
            </w:r>
          </w:p>
        </w:tc>
        <w:tc>
          <w:tcPr>
            <w:tcW w:w="831" w:type="dxa"/>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44,068</w:t>
            </w:r>
          </w:p>
        </w:tc>
        <w:tc>
          <w:tcPr>
            <w:tcW w:w="831" w:type="dxa"/>
            <w:gridSpan w:val="2"/>
            <w:tcBorders>
              <w:right w:val="single" w:sz="4" w:space="0" w:color="4BACC6" w:themeColor="accent5"/>
            </w:tcBorders>
          </w:tcPr>
          <w:p w:rsidR="00590738" w:rsidRPr="002839E1" w:rsidRDefault="00590738" w:rsidP="00AA1B9F">
            <w:pPr>
              <w:jc w:val="right"/>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60,049</w:t>
            </w:r>
          </w:p>
        </w:tc>
        <w:tc>
          <w:tcPr>
            <w:cnfStyle w:val="000100000000"/>
            <w:tcW w:w="942" w:type="dxa"/>
            <w:tcBorders>
              <w:left w:val="single" w:sz="4" w:space="0" w:color="4BACC6" w:themeColor="accent5"/>
              <w:right w:val="single" w:sz="4" w:space="0" w:color="4BACC6" w:themeColor="accent5"/>
            </w:tcBorders>
          </w:tcPr>
          <w:p w:rsidR="00590738" w:rsidRPr="002839E1" w:rsidRDefault="00590738" w:rsidP="00AA1B9F">
            <w:pPr>
              <w:jc w:val="right"/>
              <w:rPr>
                <w:rFonts w:ascii="Calibri" w:hAnsi="Calibri" w:cs="Calibri"/>
                <w:b w:val="0"/>
                <w:color w:val="244061" w:themeColor="accent1" w:themeShade="80"/>
              </w:rPr>
            </w:pPr>
            <w:r w:rsidRPr="002839E1">
              <w:rPr>
                <w:rFonts w:ascii="Calibri" w:hAnsi="Calibri" w:cs="Calibri"/>
                <w:b w:val="0"/>
                <w:color w:val="244061" w:themeColor="accent1" w:themeShade="80"/>
              </w:rPr>
              <w:t>227,369</w:t>
            </w:r>
          </w:p>
        </w:tc>
      </w:tr>
    </w:tbl>
    <w:p w:rsidR="00292A44" w:rsidRDefault="00292A44" w:rsidP="00292A44">
      <w:r>
        <w:lastRenderedPageBreak/>
        <w:t>Delving into this phenomenon further, Wise and Mathews (2011) also demonstrated that the ACT had one of the highest proportions of ‘diverse’ collection districts</w:t>
      </w:r>
      <w:r w:rsidR="00243D49">
        <w:t>. A</w:t>
      </w:r>
      <w:r>
        <w:t xml:space="preserve"> diverse area is </w:t>
      </w:r>
      <w:r w:rsidR="00243D49">
        <w:t>one</w:t>
      </w:r>
      <w:r>
        <w:t xml:space="preserve"> with an above average proportion of residents </w:t>
      </w:r>
      <w:r w:rsidR="002018F5">
        <w:t xml:space="preserve">aged 15-64 </w:t>
      </w:r>
      <w:r>
        <w:t xml:space="preserve">in SEIFI </w:t>
      </w:r>
      <w:r w:rsidR="005E5A35">
        <w:t xml:space="preserve">IRSD </w:t>
      </w:r>
      <w:r>
        <w:t xml:space="preserve">Group 1 (greater than 19.37%) and also an above average proportion of residents </w:t>
      </w:r>
      <w:r w:rsidR="002018F5">
        <w:t xml:space="preserve">aged 15-64 </w:t>
      </w:r>
      <w:r>
        <w:t xml:space="preserve">in SEIFI </w:t>
      </w:r>
      <w:r w:rsidR="005E5A35">
        <w:t xml:space="preserve">IRSD </w:t>
      </w:r>
      <w:r>
        <w:t xml:space="preserve">Group 4 (greater than 30.03%). In the ACT, 11.3% of </w:t>
      </w:r>
      <w:r w:rsidR="002018F5">
        <w:t>CDs</w:t>
      </w:r>
      <w:r>
        <w:t xml:space="preserve"> are diverse, which is significantly higher than the national average of 6.8% and second only to the National Territory (</w:t>
      </w:r>
      <w:r w:rsidRPr="001F7B92">
        <w:rPr>
          <w:b/>
        </w:rPr>
        <w:t>Table 3</w:t>
      </w:r>
      <w:r>
        <w:t xml:space="preserve">).  </w:t>
      </w:r>
      <w:r w:rsidRPr="00957ED5">
        <w:t xml:space="preserve">These </w:t>
      </w:r>
      <w:r>
        <w:t>observations</w:t>
      </w:r>
      <w:r w:rsidRPr="00957ED5">
        <w:t xml:space="preserve"> strongly support the position that the averaging effects of SEIFA are masking a significant share of the disadvantage experienced by individuals in the ACT.</w:t>
      </w:r>
      <w:r>
        <w:t xml:space="preserve"> </w:t>
      </w:r>
    </w:p>
    <w:p w:rsidR="00292A44" w:rsidRPr="00317194" w:rsidRDefault="00292A44" w:rsidP="00612C2B">
      <w:pPr>
        <w:pStyle w:val="ListParagraph"/>
        <w:numPr>
          <w:ilvl w:val="0"/>
          <w:numId w:val="6"/>
        </w:numPr>
        <w:ind w:left="851" w:hanging="851"/>
        <w:rPr>
          <w:b/>
          <w:color w:val="244061" w:themeColor="accent1" w:themeShade="80"/>
        </w:rPr>
      </w:pPr>
      <w:r w:rsidRPr="00317194">
        <w:rPr>
          <w:b/>
          <w:color w:val="244061" w:themeColor="accent1" w:themeShade="80"/>
        </w:rPr>
        <w:t>Number and percentage of ‘diverse’ collection districts by State or Territory (&gt;19.37% in SEIFI IRSD Group 1 and &gt;30.04% in SEIFI IRSD Group 4)</w:t>
      </w:r>
    </w:p>
    <w:tbl>
      <w:tblPr>
        <w:tblStyle w:val="MediumShading1-Accent5"/>
        <w:tblW w:w="0" w:type="auto"/>
        <w:tblInd w:w="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
      <w:tblGrid>
        <w:gridCol w:w="2394"/>
        <w:gridCol w:w="2394"/>
        <w:gridCol w:w="1416"/>
        <w:gridCol w:w="1417"/>
      </w:tblGrid>
      <w:tr w:rsidR="00292A44" w:rsidTr="00292A44">
        <w:trPr>
          <w:cnfStyle w:val="100000000000"/>
        </w:trPr>
        <w:tc>
          <w:tcPr>
            <w:cnfStyle w:val="001000000000"/>
            <w:tcW w:w="4788" w:type="dxa"/>
            <w:gridSpan w:val="2"/>
            <w:tcBorders>
              <w:top w:val="nil"/>
              <w:left w:val="nil"/>
              <w:bottom w:val="none" w:sz="0" w:space="0" w:color="auto"/>
              <w:right w:val="none" w:sz="0" w:space="0" w:color="auto"/>
            </w:tcBorders>
            <w:shd w:val="clear" w:color="auto" w:fill="auto"/>
          </w:tcPr>
          <w:p w:rsidR="00292A44" w:rsidRPr="00317C96" w:rsidRDefault="00292A44" w:rsidP="00292A44">
            <w:pPr>
              <w:jc w:val="center"/>
              <w:rPr>
                <w:b w:val="0"/>
                <w:sz w:val="20"/>
                <w:szCs w:val="20"/>
              </w:rPr>
            </w:pPr>
          </w:p>
        </w:tc>
        <w:tc>
          <w:tcPr>
            <w:tcW w:w="2833" w:type="dxa"/>
            <w:gridSpan w:val="2"/>
            <w:tcBorders>
              <w:top w:val="none" w:sz="0" w:space="0" w:color="auto"/>
              <w:left w:val="none" w:sz="0" w:space="0" w:color="auto"/>
              <w:bottom w:val="none" w:sz="0" w:space="0" w:color="auto"/>
              <w:right w:val="none" w:sz="0" w:space="0" w:color="auto"/>
            </w:tcBorders>
            <w:shd w:val="clear" w:color="auto" w:fill="31849B" w:themeFill="accent5" w:themeFillShade="BF"/>
          </w:tcPr>
          <w:p w:rsidR="00292A44" w:rsidRPr="00317C96" w:rsidRDefault="00292A44" w:rsidP="00292A44">
            <w:pPr>
              <w:jc w:val="center"/>
              <w:cnfStyle w:val="100000000000"/>
              <w:rPr>
                <w:b w:val="0"/>
                <w:sz w:val="20"/>
                <w:szCs w:val="20"/>
              </w:rPr>
            </w:pPr>
            <w:r w:rsidRPr="00317C96">
              <w:rPr>
                <w:b w:val="0"/>
                <w:sz w:val="20"/>
                <w:szCs w:val="20"/>
              </w:rPr>
              <w:t>‘Diverse’ CDs</w:t>
            </w:r>
          </w:p>
        </w:tc>
      </w:tr>
      <w:tr w:rsidR="00292A44" w:rsidTr="00292A44">
        <w:trPr>
          <w:cnfStyle w:val="000000100000"/>
        </w:trPr>
        <w:tc>
          <w:tcPr>
            <w:cnfStyle w:val="001000000000"/>
            <w:tcW w:w="2394" w:type="dxa"/>
            <w:tcBorders>
              <w:right w:val="none" w:sz="0" w:space="0" w:color="auto"/>
            </w:tcBorders>
            <w:shd w:val="clear" w:color="auto" w:fill="4BACC6" w:themeFill="accent5"/>
          </w:tcPr>
          <w:p w:rsidR="00292A44" w:rsidRPr="00317C96" w:rsidRDefault="00292A44" w:rsidP="00292A44">
            <w:pPr>
              <w:jc w:val="center"/>
              <w:rPr>
                <w:b w:val="0"/>
                <w:bCs w:val="0"/>
                <w:color w:val="FFFFFF" w:themeColor="background1"/>
                <w:sz w:val="20"/>
                <w:szCs w:val="20"/>
              </w:rPr>
            </w:pPr>
            <w:r w:rsidRPr="00317C96">
              <w:rPr>
                <w:b w:val="0"/>
                <w:bCs w:val="0"/>
                <w:color w:val="FFFFFF" w:themeColor="background1"/>
                <w:sz w:val="20"/>
                <w:szCs w:val="20"/>
              </w:rPr>
              <w:t>State</w:t>
            </w:r>
          </w:p>
        </w:tc>
        <w:tc>
          <w:tcPr>
            <w:tcW w:w="2394" w:type="dxa"/>
            <w:tcBorders>
              <w:left w:val="none" w:sz="0" w:space="0" w:color="auto"/>
              <w:right w:val="none" w:sz="0" w:space="0" w:color="auto"/>
            </w:tcBorders>
            <w:shd w:val="clear" w:color="auto" w:fill="4BACC6" w:themeFill="accent5"/>
          </w:tcPr>
          <w:p w:rsidR="00292A44" w:rsidRPr="00317C96" w:rsidRDefault="00292A44" w:rsidP="00292A44">
            <w:pPr>
              <w:jc w:val="center"/>
              <w:cnfStyle w:val="000000100000"/>
              <w:rPr>
                <w:bCs/>
                <w:color w:val="FFFFFF" w:themeColor="background1"/>
                <w:sz w:val="20"/>
                <w:szCs w:val="20"/>
              </w:rPr>
            </w:pPr>
            <w:r w:rsidRPr="00317C96">
              <w:rPr>
                <w:bCs/>
                <w:color w:val="FFFFFF" w:themeColor="background1"/>
                <w:sz w:val="20"/>
                <w:szCs w:val="20"/>
              </w:rPr>
              <w:t>Total Number of CDs+</w:t>
            </w:r>
          </w:p>
        </w:tc>
        <w:tc>
          <w:tcPr>
            <w:tcW w:w="1416" w:type="dxa"/>
            <w:tcBorders>
              <w:left w:val="none" w:sz="0" w:space="0" w:color="auto"/>
              <w:right w:val="none" w:sz="0" w:space="0" w:color="auto"/>
            </w:tcBorders>
            <w:shd w:val="clear" w:color="auto" w:fill="4BACC6" w:themeFill="accent5"/>
          </w:tcPr>
          <w:p w:rsidR="00292A44" w:rsidRPr="00317C96" w:rsidRDefault="00292A44" w:rsidP="00292A44">
            <w:pPr>
              <w:jc w:val="center"/>
              <w:cnfStyle w:val="000000100000"/>
              <w:rPr>
                <w:bCs/>
                <w:color w:val="FFFFFF" w:themeColor="background1"/>
                <w:sz w:val="20"/>
                <w:szCs w:val="20"/>
              </w:rPr>
            </w:pPr>
            <w:r w:rsidRPr="00317C96">
              <w:rPr>
                <w:bCs/>
                <w:color w:val="FFFFFF" w:themeColor="background1"/>
                <w:sz w:val="20"/>
                <w:szCs w:val="20"/>
              </w:rPr>
              <w:t>Number</w:t>
            </w:r>
          </w:p>
        </w:tc>
        <w:tc>
          <w:tcPr>
            <w:tcW w:w="1417" w:type="dxa"/>
            <w:tcBorders>
              <w:left w:val="none" w:sz="0" w:space="0" w:color="auto"/>
            </w:tcBorders>
            <w:shd w:val="clear" w:color="auto" w:fill="4BACC6" w:themeFill="accent5"/>
          </w:tcPr>
          <w:p w:rsidR="00292A44" w:rsidRPr="00317C96" w:rsidRDefault="00292A44" w:rsidP="00292A44">
            <w:pPr>
              <w:jc w:val="center"/>
              <w:cnfStyle w:val="000000100000"/>
              <w:rPr>
                <w:bCs/>
                <w:color w:val="FFFFFF" w:themeColor="background1"/>
                <w:sz w:val="20"/>
                <w:szCs w:val="20"/>
              </w:rPr>
            </w:pPr>
            <w:r w:rsidRPr="00317C96">
              <w:rPr>
                <w:bCs/>
                <w:color w:val="FFFFFF" w:themeColor="background1"/>
                <w:sz w:val="20"/>
                <w:szCs w:val="20"/>
              </w:rPr>
              <w:t>Percentage</w:t>
            </w:r>
          </w:p>
        </w:tc>
      </w:tr>
      <w:tr w:rsidR="00292A44" w:rsidTr="00292A44">
        <w:trPr>
          <w:cnfStyle w:val="00000001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New South Wales</w:t>
            </w:r>
          </w:p>
        </w:tc>
        <w:tc>
          <w:tcPr>
            <w:tcW w:w="2394"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11,811</w:t>
            </w:r>
          </w:p>
        </w:tc>
        <w:tc>
          <w:tcPr>
            <w:tcW w:w="1416"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720</w:t>
            </w:r>
          </w:p>
        </w:tc>
        <w:tc>
          <w:tcPr>
            <w:tcW w:w="1417" w:type="dxa"/>
            <w:tcBorders>
              <w:left w:val="none" w:sz="0" w:space="0" w:color="auto"/>
            </w:tcBorders>
          </w:tcPr>
          <w:p w:rsidR="00292A44" w:rsidRPr="000A04F6" w:rsidRDefault="00292A44" w:rsidP="00292A44">
            <w:pPr>
              <w:jc w:val="center"/>
              <w:cnfStyle w:val="000000010000"/>
              <w:rPr>
                <w:sz w:val="20"/>
                <w:szCs w:val="20"/>
              </w:rPr>
            </w:pPr>
            <w:r w:rsidRPr="000A04F6">
              <w:rPr>
                <w:sz w:val="20"/>
                <w:szCs w:val="20"/>
              </w:rPr>
              <w:t>6.1</w:t>
            </w:r>
          </w:p>
        </w:tc>
      </w:tr>
      <w:tr w:rsidR="00292A44" w:rsidTr="00292A44">
        <w:trPr>
          <w:cnfStyle w:val="00000010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Victoria</w:t>
            </w:r>
          </w:p>
        </w:tc>
        <w:tc>
          <w:tcPr>
            <w:tcW w:w="2394"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9,095</w:t>
            </w:r>
          </w:p>
        </w:tc>
        <w:tc>
          <w:tcPr>
            <w:tcW w:w="1416"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432</w:t>
            </w:r>
          </w:p>
        </w:tc>
        <w:tc>
          <w:tcPr>
            <w:tcW w:w="1417" w:type="dxa"/>
            <w:tcBorders>
              <w:left w:val="none" w:sz="0" w:space="0" w:color="auto"/>
            </w:tcBorders>
          </w:tcPr>
          <w:p w:rsidR="00292A44" w:rsidRPr="000A04F6" w:rsidRDefault="00292A44" w:rsidP="00292A44">
            <w:pPr>
              <w:jc w:val="center"/>
              <w:cnfStyle w:val="000000100000"/>
              <w:rPr>
                <w:sz w:val="20"/>
                <w:szCs w:val="20"/>
              </w:rPr>
            </w:pPr>
            <w:r w:rsidRPr="000A04F6">
              <w:rPr>
                <w:sz w:val="20"/>
                <w:szCs w:val="20"/>
              </w:rPr>
              <w:t>4.8</w:t>
            </w:r>
          </w:p>
        </w:tc>
      </w:tr>
      <w:tr w:rsidR="00292A44" w:rsidTr="00292A44">
        <w:trPr>
          <w:cnfStyle w:val="00000001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Queensland</w:t>
            </w:r>
          </w:p>
        </w:tc>
        <w:tc>
          <w:tcPr>
            <w:tcW w:w="2394"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7,458</w:t>
            </w:r>
          </w:p>
        </w:tc>
        <w:tc>
          <w:tcPr>
            <w:tcW w:w="1416"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385</w:t>
            </w:r>
          </w:p>
        </w:tc>
        <w:tc>
          <w:tcPr>
            <w:tcW w:w="1417" w:type="dxa"/>
            <w:tcBorders>
              <w:left w:val="none" w:sz="0" w:space="0" w:color="auto"/>
            </w:tcBorders>
          </w:tcPr>
          <w:p w:rsidR="00292A44" w:rsidRPr="000A04F6" w:rsidRDefault="00292A44" w:rsidP="00292A44">
            <w:pPr>
              <w:jc w:val="center"/>
              <w:cnfStyle w:val="000000010000"/>
              <w:rPr>
                <w:sz w:val="20"/>
                <w:szCs w:val="20"/>
              </w:rPr>
            </w:pPr>
            <w:r w:rsidRPr="000A04F6">
              <w:rPr>
                <w:sz w:val="20"/>
                <w:szCs w:val="20"/>
              </w:rPr>
              <w:t>5.2</w:t>
            </w:r>
          </w:p>
        </w:tc>
      </w:tr>
      <w:tr w:rsidR="00292A44" w:rsidTr="00292A44">
        <w:trPr>
          <w:cnfStyle w:val="00000010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South Australia</w:t>
            </w:r>
          </w:p>
        </w:tc>
        <w:tc>
          <w:tcPr>
            <w:tcW w:w="2394"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3,178</w:t>
            </w:r>
          </w:p>
        </w:tc>
        <w:tc>
          <w:tcPr>
            <w:tcW w:w="1416"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128</w:t>
            </w:r>
          </w:p>
        </w:tc>
        <w:tc>
          <w:tcPr>
            <w:tcW w:w="1417" w:type="dxa"/>
            <w:tcBorders>
              <w:left w:val="none" w:sz="0" w:space="0" w:color="auto"/>
            </w:tcBorders>
          </w:tcPr>
          <w:p w:rsidR="00292A44" w:rsidRPr="000A04F6" w:rsidRDefault="00292A44" w:rsidP="00292A44">
            <w:pPr>
              <w:jc w:val="center"/>
              <w:cnfStyle w:val="000000100000"/>
              <w:rPr>
                <w:sz w:val="20"/>
                <w:szCs w:val="20"/>
              </w:rPr>
            </w:pPr>
            <w:r w:rsidRPr="000A04F6">
              <w:rPr>
                <w:sz w:val="20"/>
                <w:szCs w:val="20"/>
              </w:rPr>
              <w:t>4.0</w:t>
            </w:r>
          </w:p>
        </w:tc>
      </w:tr>
      <w:tr w:rsidR="00292A44" w:rsidTr="00292A44">
        <w:trPr>
          <w:cnfStyle w:val="00000001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Western Australia</w:t>
            </w:r>
          </w:p>
        </w:tc>
        <w:tc>
          <w:tcPr>
            <w:tcW w:w="2394"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3,980</w:t>
            </w:r>
          </w:p>
        </w:tc>
        <w:tc>
          <w:tcPr>
            <w:tcW w:w="1416"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234</w:t>
            </w:r>
          </w:p>
        </w:tc>
        <w:tc>
          <w:tcPr>
            <w:tcW w:w="1417" w:type="dxa"/>
            <w:tcBorders>
              <w:left w:val="none" w:sz="0" w:space="0" w:color="auto"/>
            </w:tcBorders>
          </w:tcPr>
          <w:p w:rsidR="00292A44" w:rsidRPr="000A04F6" w:rsidRDefault="00292A44" w:rsidP="00292A44">
            <w:pPr>
              <w:jc w:val="center"/>
              <w:cnfStyle w:val="000000010000"/>
              <w:rPr>
                <w:sz w:val="20"/>
                <w:szCs w:val="20"/>
              </w:rPr>
            </w:pPr>
            <w:r w:rsidRPr="000A04F6">
              <w:rPr>
                <w:sz w:val="20"/>
                <w:szCs w:val="20"/>
              </w:rPr>
              <w:t>5.9</w:t>
            </w:r>
          </w:p>
        </w:tc>
      </w:tr>
      <w:tr w:rsidR="00292A44" w:rsidTr="00292A44">
        <w:trPr>
          <w:cnfStyle w:val="00000010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Tasmania</w:t>
            </w:r>
          </w:p>
        </w:tc>
        <w:tc>
          <w:tcPr>
            <w:tcW w:w="2394"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1,045</w:t>
            </w:r>
          </w:p>
        </w:tc>
        <w:tc>
          <w:tcPr>
            <w:tcW w:w="1416"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24</w:t>
            </w:r>
          </w:p>
        </w:tc>
        <w:tc>
          <w:tcPr>
            <w:tcW w:w="1417" w:type="dxa"/>
            <w:tcBorders>
              <w:left w:val="none" w:sz="0" w:space="0" w:color="auto"/>
            </w:tcBorders>
          </w:tcPr>
          <w:p w:rsidR="00292A44" w:rsidRPr="000A04F6" w:rsidRDefault="00292A44" w:rsidP="00292A44">
            <w:pPr>
              <w:jc w:val="center"/>
              <w:cnfStyle w:val="000000100000"/>
              <w:rPr>
                <w:sz w:val="20"/>
                <w:szCs w:val="20"/>
              </w:rPr>
            </w:pPr>
            <w:r w:rsidRPr="000A04F6">
              <w:rPr>
                <w:sz w:val="20"/>
                <w:szCs w:val="20"/>
              </w:rPr>
              <w:t>2.3</w:t>
            </w:r>
          </w:p>
        </w:tc>
      </w:tr>
      <w:tr w:rsidR="00292A44" w:rsidTr="00292A44">
        <w:trPr>
          <w:cnfStyle w:val="00000001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Northern Territory</w:t>
            </w:r>
          </w:p>
        </w:tc>
        <w:tc>
          <w:tcPr>
            <w:tcW w:w="2394"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356</w:t>
            </w:r>
          </w:p>
        </w:tc>
        <w:tc>
          <w:tcPr>
            <w:tcW w:w="1416" w:type="dxa"/>
            <w:tcBorders>
              <w:left w:val="none" w:sz="0" w:space="0" w:color="auto"/>
              <w:right w:val="none" w:sz="0" w:space="0" w:color="auto"/>
            </w:tcBorders>
          </w:tcPr>
          <w:p w:rsidR="00292A44" w:rsidRPr="000A04F6" w:rsidRDefault="00292A44" w:rsidP="00292A44">
            <w:pPr>
              <w:jc w:val="center"/>
              <w:cnfStyle w:val="000000010000"/>
              <w:rPr>
                <w:sz w:val="20"/>
                <w:szCs w:val="20"/>
              </w:rPr>
            </w:pPr>
            <w:r w:rsidRPr="000A04F6">
              <w:rPr>
                <w:sz w:val="20"/>
                <w:szCs w:val="20"/>
              </w:rPr>
              <w:t>53</w:t>
            </w:r>
          </w:p>
        </w:tc>
        <w:tc>
          <w:tcPr>
            <w:tcW w:w="1417" w:type="dxa"/>
            <w:tcBorders>
              <w:left w:val="none" w:sz="0" w:space="0" w:color="auto"/>
            </w:tcBorders>
          </w:tcPr>
          <w:p w:rsidR="00292A44" w:rsidRPr="000A04F6" w:rsidRDefault="00292A44" w:rsidP="00292A44">
            <w:pPr>
              <w:jc w:val="center"/>
              <w:cnfStyle w:val="000000010000"/>
              <w:rPr>
                <w:sz w:val="20"/>
                <w:szCs w:val="20"/>
              </w:rPr>
            </w:pPr>
            <w:r w:rsidRPr="000A04F6">
              <w:rPr>
                <w:sz w:val="20"/>
                <w:szCs w:val="20"/>
              </w:rPr>
              <w:t>14.9</w:t>
            </w:r>
          </w:p>
        </w:tc>
      </w:tr>
      <w:tr w:rsidR="00292A44" w:rsidTr="00292A44">
        <w:trPr>
          <w:cnfStyle w:val="000000100000"/>
        </w:trPr>
        <w:tc>
          <w:tcPr>
            <w:cnfStyle w:val="001000000000"/>
            <w:tcW w:w="2394" w:type="dxa"/>
            <w:tcBorders>
              <w:right w:val="none" w:sz="0" w:space="0" w:color="auto"/>
            </w:tcBorders>
          </w:tcPr>
          <w:p w:rsidR="00292A44" w:rsidRPr="000A04F6" w:rsidRDefault="00292A44" w:rsidP="00292A44">
            <w:pPr>
              <w:jc w:val="center"/>
              <w:rPr>
                <w:sz w:val="20"/>
                <w:szCs w:val="20"/>
              </w:rPr>
            </w:pPr>
            <w:r w:rsidRPr="000A04F6">
              <w:rPr>
                <w:sz w:val="20"/>
                <w:szCs w:val="20"/>
              </w:rPr>
              <w:t>Aust. Capital Territory</w:t>
            </w:r>
          </w:p>
        </w:tc>
        <w:tc>
          <w:tcPr>
            <w:tcW w:w="2394"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522</w:t>
            </w:r>
          </w:p>
        </w:tc>
        <w:tc>
          <w:tcPr>
            <w:tcW w:w="1416" w:type="dxa"/>
            <w:tcBorders>
              <w:left w:val="none" w:sz="0" w:space="0" w:color="auto"/>
              <w:right w:val="none" w:sz="0" w:space="0" w:color="auto"/>
            </w:tcBorders>
          </w:tcPr>
          <w:p w:rsidR="00292A44" w:rsidRPr="000A04F6" w:rsidRDefault="00292A44" w:rsidP="00292A44">
            <w:pPr>
              <w:jc w:val="center"/>
              <w:cnfStyle w:val="000000100000"/>
              <w:rPr>
                <w:sz w:val="20"/>
                <w:szCs w:val="20"/>
              </w:rPr>
            </w:pPr>
            <w:r w:rsidRPr="000A04F6">
              <w:rPr>
                <w:sz w:val="20"/>
                <w:szCs w:val="20"/>
              </w:rPr>
              <w:t>59</w:t>
            </w:r>
          </w:p>
        </w:tc>
        <w:tc>
          <w:tcPr>
            <w:tcW w:w="1417" w:type="dxa"/>
            <w:tcBorders>
              <w:left w:val="none" w:sz="0" w:space="0" w:color="auto"/>
            </w:tcBorders>
          </w:tcPr>
          <w:p w:rsidR="00292A44" w:rsidRPr="000A04F6" w:rsidRDefault="00292A44" w:rsidP="00292A44">
            <w:pPr>
              <w:jc w:val="center"/>
              <w:cnfStyle w:val="000000100000"/>
              <w:rPr>
                <w:sz w:val="20"/>
                <w:szCs w:val="20"/>
              </w:rPr>
            </w:pPr>
            <w:r w:rsidRPr="000A04F6">
              <w:rPr>
                <w:sz w:val="20"/>
                <w:szCs w:val="20"/>
              </w:rPr>
              <w:t>11.3</w:t>
            </w:r>
          </w:p>
        </w:tc>
      </w:tr>
    </w:tbl>
    <w:p w:rsidR="00292A44" w:rsidRPr="00581CC8" w:rsidRDefault="00292A44" w:rsidP="005E5A35">
      <w:pPr>
        <w:spacing w:before="120"/>
        <w:ind w:left="720"/>
        <w:rPr>
          <w:color w:val="808080" w:themeColor="background1" w:themeShade="80"/>
          <w:sz w:val="16"/>
          <w:szCs w:val="16"/>
        </w:rPr>
      </w:pPr>
      <w:r w:rsidRPr="00581CC8">
        <w:rPr>
          <w:color w:val="808080" w:themeColor="background1" w:themeShade="80"/>
          <w:sz w:val="16"/>
          <w:szCs w:val="16"/>
        </w:rPr>
        <w:t xml:space="preserve">Source: </w:t>
      </w:r>
      <w:r w:rsidR="005E5A35">
        <w:rPr>
          <w:color w:val="808080" w:themeColor="background1" w:themeShade="80"/>
          <w:sz w:val="16"/>
          <w:szCs w:val="16"/>
        </w:rPr>
        <w:t xml:space="preserve">Wise and Matthew (2011). Socio-Economic Indexes </w:t>
      </w:r>
      <w:proofErr w:type="gramStart"/>
      <w:r w:rsidR="005E5A35">
        <w:rPr>
          <w:color w:val="808080" w:themeColor="background1" w:themeShade="80"/>
          <w:sz w:val="16"/>
          <w:szCs w:val="16"/>
        </w:rPr>
        <w:t>For</w:t>
      </w:r>
      <w:proofErr w:type="gramEnd"/>
      <w:r w:rsidR="005E5A35">
        <w:rPr>
          <w:color w:val="808080" w:themeColor="background1" w:themeShade="80"/>
          <w:sz w:val="16"/>
          <w:szCs w:val="16"/>
        </w:rPr>
        <w:t xml:space="preserve"> Areas: Getting a Handle on Individual Diversity within Areas. </w:t>
      </w:r>
    </w:p>
    <w:p w:rsidR="004B2A46" w:rsidRDefault="004B2A46" w:rsidP="004B2A46">
      <w:r>
        <w:t xml:space="preserve">As demonstrated in </w:t>
      </w:r>
      <w:r w:rsidRPr="001F7B92">
        <w:rPr>
          <w:b/>
        </w:rPr>
        <w:t>Table 2</w:t>
      </w:r>
      <w:r>
        <w:t xml:space="preserve">, the ACT SEIFI data reveals that a total of 28,639 individuals aged 15 to 64 have been identified as falling into Group 1, the most disadvantaged 20% of Australians. Of these individuals, 12,726 or 44.4% of the ACT Group 1 population </w:t>
      </w:r>
      <w:r w:rsidR="002018F5">
        <w:t xml:space="preserve">aged 15-64 </w:t>
      </w:r>
      <w:r>
        <w:t>reside in collection districts with SEIFA scores of between 8 to 10</w:t>
      </w:r>
      <w:r w:rsidR="002018F5">
        <w:t xml:space="preserve"> (Group 4).  Similarly, 15,868 </w:t>
      </w:r>
      <w:r>
        <w:t>or 61.0</w:t>
      </w:r>
      <w:r w:rsidR="00DB4F77">
        <w:t>% of</w:t>
      </w:r>
      <w:r>
        <w:t xml:space="preserve"> ACT residents</w:t>
      </w:r>
      <w:r w:rsidR="002018F5">
        <w:t xml:space="preserve"> aged 15-</w:t>
      </w:r>
      <w:r w:rsidR="00BD4DA4">
        <w:t>64 in</w:t>
      </w:r>
      <w:r>
        <w:t xml:space="preserve"> Group 2 of SEIFI, the second most disadvantaged cohort, also live in CDs with SEIFI scores of 8 or higher. In total, 93.4% of the Group 1 and Group 2 population in the ACT lives in a CD with a SEIFA score that is higher than the level of disadvantage they experience, or over 51,000 individuals </w:t>
      </w:r>
      <w:r w:rsidR="00F02458">
        <w:t>aged 15-64</w:t>
      </w:r>
      <w:r>
        <w:t xml:space="preserve">.   </w:t>
      </w:r>
    </w:p>
    <w:p w:rsidR="00590738" w:rsidRDefault="00590738" w:rsidP="00590738">
      <w:pPr>
        <w:pStyle w:val="Heading2"/>
      </w:pPr>
      <w:bookmarkStart w:id="22" w:name="_Toc358033193"/>
      <w:r w:rsidRPr="00F57138">
        <w:t>Community Profiles</w:t>
      </w:r>
      <w:r>
        <w:t xml:space="preserve">: </w:t>
      </w:r>
      <w:r w:rsidRPr="00F57138">
        <w:t xml:space="preserve"> Hidden Disadvantage in the ACT</w:t>
      </w:r>
      <w:bookmarkEnd w:id="22"/>
    </w:p>
    <w:p w:rsidR="00DA4999" w:rsidRPr="00DA4999" w:rsidRDefault="00DA4999" w:rsidP="00DA4999">
      <w:pPr>
        <w:pStyle w:val="Heading3"/>
      </w:pPr>
      <w:bookmarkStart w:id="23" w:name="_Toc358033194"/>
      <w:r>
        <w:t>Overview</w:t>
      </w:r>
      <w:bookmarkEnd w:id="23"/>
    </w:p>
    <w:p w:rsidR="00590738" w:rsidRDefault="00590738" w:rsidP="00590738">
      <w:r>
        <w:t xml:space="preserve">There are a total of 95 suburbs and 522 collection districts in the ACT for which SEIFA IRSD scores and SEIFI IRSD proportions were calculated using data from the 2006 Census. </w:t>
      </w:r>
    </w:p>
    <w:p w:rsidR="00590738" w:rsidRDefault="00590738" w:rsidP="00590738">
      <w:r>
        <w:t xml:space="preserve">Of these 95 suburbs, only two (2.1%) suburbs are ranked by SEIFA into the most disadvantaged </w:t>
      </w:r>
      <w:proofErr w:type="spellStart"/>
      <w:r>
        <w:t>decile</w:t>
      </w:r>
      <w:proofErr w:type="spellEnd"/>
      <w:r>
        <w:t xml:space="preserve"> across Australia and only four (4.2%) ACT suburbs have a SEIFA score of 4 or lower. By contrast, 72 (75.8%) suburbs in the ACT have a SEIFA </w:t>
      </w:r>
      <w:proofErr w:type="spellStart"/>
      <w:r>
        <w:t>decile</w:t>
      </w:r>
      <w:proofErr w:type="spellEnd"/>
      <w:r>
        <w:t xml:space="preserve"> score of 8 or higher, classifying them into the least disadvantaged group of areas across the nation. </w:t>
      </w:r>
    </w:p>
    <w:p w:rsidR="00590738" w:rsidRDefault="00590738" w:rsidP="00590738">
      <w:r>
        <w:lastRenderedPageBreak/>
        <w:t>At the small-area level, 322 (61.7%) of the 522 collection districts ha</w:t>
      </w:r>
      <w:r w:rsidR="00643311">
        <w:t xml:space="preserve">ve SEIFA scores of 8 or higher and 52 (10.0%) CDs have a SEIFA score of 4 or lower, including a total of </w:t>
      </w:r>
      <w:r>
        <w:t xml:space="preserve">10 (1.9%) </w:t>
      </w:r>
      <w:r w:rsidR="00643311">
        <w:t>CDs that</w:t>
      </w:r>
      <w:r>
        <w:t xml:space="preserve"> have a SEIFA </w:t>
      </w:r>
      <w:proofErr w:type="spellStart"/>
      <w:r>
        <w:t>decile</w:t>
      </w:r>
      <w:proofErr w:type="spellEnd"/>
      <w:r>
        <w:t xml:space="preserve"> score of </w:t>
      </w:r>
      <w:r w:rsidR="00643311">
        <w:t xml:space="preserve">only </w:t>
      </w:r>
      <w:r>
        <w:t xml:space="preserve">1. The difference in the proportion of </w:t>
      </w:r>
      <w:r w:rsidR="00FA4171">
        <w:t xml:space="preserve">relatively </w:t>
      </w:r>
      <w:r>
        <w:t xml:space="preserve">disadvantaged areas </w:t>
      </w:r>
      <w:r w:rsidR="00643311">
        <w:t xml:space="preserve">at the </w:t>
      </w:r>
      <w:r>
        <w:t>suburb</w:t>
      </w:r>
      <w:r w:rsidR="00643311">
        <w:t xml:space="preserve"> level versus </w:t>
      </w:r>
      <w:r w:rsidR="006F2AE4">
        <w:t xml:space="preserve">at the </w:t>
      </w:r>
      <w:r>
        <w:t>collection district</w:t>
      </w:r>
      <w:r w:rsidR="00643311">
        <w:t xml:space="preserve"> level</w:t>
      </w:r>
      <w:r>
        <w:t xml:space="preserve"> is the result of a type of bias in spatial </w:t>
      </w:r>
      <w:r w:rsidR="006F2AE4">
        <w:t>statistics</w:t>
      </w:r>
      <w:r>
        <w:t xml:space="preserve"> known as the modifiable areal unit probl</w:t>
      </w:r>
      <w:r w:rsidR="006F2AE4">
        <w:t>em (MAUP), whereby the aggregation</w:t>
      </w:r>
      <w:r>
        <w:t xml:space="preserve"> of areal data into different geographic boundaries changes the resulting summary values. This is also the case when SEIFI is aggregated from the CD to the suburb level. As a result of this bias, it is preferable to conduct any geographical analysis at the smallest possible areal unit, or it is important to at least be aware of how the choice of geographical area may affect the measure. This issue and its impact on the appropriateness of SEIFA as a measure of socio-economic disadv</w:t>
      </w:r>
      <w:r w:rsidR="00EC4A10">
        <w:t xml:space="preserve">antage will be explored </w:t>
      </w:r>
      <w:r>
        <w:t>below</w:t>
      </w:r>
      <w:r w:rsidR="0005011C">
        <w:rPr>
          <w:vertAlign w:val="superscript"/>
        </w:rPr>
        <w:t>8</w:t>
      </w:r>
      <w:r>
        <w:t xml:space="preserve">. </w:t>
      </w:r>
    </w:p>
    <w:p w:rsidR="00BE3AA9" w:rsidRDefault="00F75D7A" w:rsidP="00590738">
      <w:r>
        <w:t>The remaining subsections</w:t>
      </w:r>
      <w:r w:rsidR="005C19D3">
        <w:t xml:space="preserve"> </w:t>
      </w:r>
      <w:r>
        <w:t xml:space="preserve">in </w:t>
      </w:r>
      <w:r w:rsidR="005C19D3">
        <w:t>Section</w:t>
      </w:r>
      <w:r w:rsidR="00FA4171">
        <w:t xml:space="preserve"> 2</w:t>
      </w:r>
      <w:r w:rsidR="005C19D3">
        <w:t xml:space="preserve"> will profile </w:t>
      </w:r>
      <w:r w:rsidR="003F24EA">
        <w:t xml:space="preserve">a selection of </w:t>
      </w:r>
      <w:r w:rsidR="005C19D3">
        <w:t xml:space="preserve">ACT suburbs that embody a number of trends observed in the SEIFI </w:t>
      </w:r>
      <w:r w:rsidR="00FA4171">
        <w:t xml:space="preserve">IRSD </w:t>
      </w:r>
      <w:r w:rsidR="005C19D3">
        <w:t>data for the Territory</w:t>
      </w:r>
      <w:r w:rsidR="006D1235">
        <w:t>. In ‘</w:t>
      </w:r>
      <w:hyperlink w:anchor="_Comparing_Neighbours:_Measuring_1" w:history="1">
        <w:r w:rsidR="006D1235" w:rsidRPr="00FA4171">
          <w:rPr>
            <w:rStyle w:val="Hyperlink"/>
          </w:rPr>
          <w:t>Comparing Neighbours</w:t>
        </w:r>
      </w:hyperlink>
      <w:r w:rsidR="006D1235">
        <w:t xml:space="preserve">’, </w:t>
      </w:r>
      <w:r w:rsidR="00153BFD">
        <w:t xml:space="preserve">the breakdown of CD-level SEIFA </w:t>
      </w:r>
      <w:r w:rsidR="00FA4171">
        <w:t xml:space="preserve">IRSD </w:t>
      </w:r>
      <w:r w:rsidR="00153BFD">
        <w:t>and SEIFI</w:t>
      </w:r>
      <w:r w:rsidR="00FA4171">
        <w:t xml:space="preserve"> IRSD</w:t>
      </w:r>
      <w:r w:rsidR="00153BFD">
        <w:t xml:space="preserve"> da</w:t>
      </w:r>
      <w:r w:rsidR="003D762C">
        <w:t xml:space="preserve">ta for several neighbouring suburbs </w:t>
      </w:r>
      <w:r w:rsidR="00117B11">
        <w:t xml:space="preserve">also </w:t>
      </w:r>
      <w:r w:rsidR="003D762C">
        <w:t>demonstrates that SEIFA is a</w:t>
      </w:r>
      <w:r w:rsidR="00CC5ED6">
        <w:t xml:space="preserve"> poor predictor of the proportional distribution of individual disadvantage within areas. </w:t>
      </w:r>
      <w:r w:rsidR="001B16E9">
        <w:t xml:space="preserve">Ainslie and </w:t>
      </w:r>
      <w:proofErr w:type="spellStart"/>
      <w:r w:rsidR="001B16E9">
        <w:t>Braddon</w:t>
      </w:r>
      <w:proofErr w:type="spellEnd"/>
      <w:r w:rsidR="001B16E9">
        <w:t xml:space="preserve"> are two neighbouring suburbs with dissimilar SEIFA scores but similar SEIFI d</w:t>
      </w:r>
      <w:r w:rsidR="001975E0">
        <w:t xml:space="preserve">istributions, while neighbours </w:t>
      </w:r>
      <w:proofErr w:type="spellStart"/>
      <w:r w:rsidR="001975E0">
        <w:t>Rivett</w:t>
      </w:r>
      <w:proofErr w:type="spellEnd"/>
      <w:r w:rsidR="001975E0">
        <w:t xml:space="preserve"> and Chapman have similar SEIFA scores but very different distributions of disadv</w:t>
      </w:r>
      <w:r w:rsidR="000D6575">
        <w:t>antage at the individual-level.</w:t>
      </w:r>
    </w:p>
    <w:p w:rsidR="000D6575" w:rsidRDefault="004C0C4F" w:rsidP="00590738">
      <w:r>
        <w:t>In ‘</w:t>
      </w:r>
      <w:hyperlink w:anchor="_The_Odd_One" w:history="1">
        <w:r w:rsidRPr="00573450">
          <w:rPr>
            <w:rStyle w:val="Hyperlink"/>
          </w:rPr>
          <w:t>The Odd CD Masked</w:t>
        </w:r>
      </w:hyperlink>
      <w:r>
        <w:t>’</w:t>
      </w:r>
      <w:r w:rsidR="00FA4171">
        <w:t>,</w:t>
      </w:r>
      <w:r>
        <w:t xml:space="preserve"> </w:t>
      </w:r>
      <w:r w:rsidR="000D6575">
        <w:t xml:space="preserve">Kingston and Torrens </w:t>
      </w:r>
      <w:r w:rsidR="00117B11">
        <w:t>exemplify</w:t>
      </w:r>
      <w:r w:rsidR="000D6575">
        <w:t xml:space="preserve"> </w:t>
      </w:r>
      <w:r w:rsidR="00BD2796">
        <w:t xml:space="preserve">a number of ACT suburbs with high SEIFA scores </w:t>
      </w:r>
      <w:r w:rsidR="00FA4171">
        <w:t xml:space="preserve">that </w:t>
      </w:r>
      <w:r w:rsidR="00BD2796">
        <w:t>contain a single CD that is the only constituent CD</w:t>
      </w:r>
      <w:r w:rsidR="006662BC">
        <w:t xml:space="preserve"> in that area</w:t>
      </w:r>
      <w:r w:rsidR="00BD2796">
        <w:t xml:space="preserve"> to have an above average proportion </w:t>
      </w:r>
      <w:r w:rsidR="006662BC">
        <w:t xml:space="preserve">of residents </w:t>
      </w:r>
      <w:r w:rsidR="00FA4171">
        <w:t xml:space="preserve">aged 15-64 </w:t>
      </w:r>
      <w:r w:rsidR="006662BC">
        <w:t xml:space="preserve">in Group 1, the most disadvantaged quintile. </w:t>
      </w:r>
      <w:r w:rsidR="000C3DD3">
        <w:t xml:space="preserve">This phenomenon may be attributable in part to the ACT’s Public Housing Asset Management Strategy, which </w:t>
      </w:r>
      <w:r w:rsidR="002419A2">
        <w:t xml:space="preserve">prescribes that social housing is ‘salt and peppered’ throughout most ACT suburbs rather than concentrated in a few select areas. </w:t>
      </w:r>
      <w:r w:rsidR="0056708C">
        <w:t>R</w:t>
      </w:r>
      <w:r w:rsidR="001960DF">
        <w:t>esidents in these isolated CDs</w:t>
      </w:r>
      <w:r w:rsidR="0056708C">
        <w:t xml:space="preserve"> are at </w:t>
      </w:r>
      <w:r w:rsidR="001960DF">
        <w:t xml:space="preserve">greater risk of experiencing social exclusion and may </w:t>
      </w:r>
      <w:r w:rsidR="0056708C">
        <w:t>be vulnerable to cost of living pressures</w:t>
      </w:r>
      <w:r w:rsidR="006662BC">
        <w:t>. This</w:t>
      </w:r>
      <w:r w:rsidR="000C3DD3">
        <w:t xml:space="preserve"> is </w:t>
      </w:r>
      <w:r w:rsidR="0056708C">
        <w:t xml:space="preserve">only further </w:t>
      </w:r>
      <w:r w:rsidR="000C3DD3">
        <w:t xml:space="preserve">exacerbated when these disadvantaged individuals are masked by the suburb-level SEIFA scores. </w:t>
      </w:r>
      <w:r w:rsidR="001D6A53">
        <w:t xml:space="preserve"> </w:t>
      </w:r>
    </w:p>
    <w:p w:rsidR="00BE3AA9" w:rsidRDefault="004C0C4F" w:rsidP="00590738">
      <w:r>
        <w:t>In ‘</w:t>
      </w:r>
      <w:hyperlink w:anchor="_The_Hidden_Gradient:" w:history="1">
        <w:r w:rsidR="004D73FA">
          <w:rPr>
            <w:rStyle w:val="Hyperlink"/>
          </w:rPr>
          <w:t>The Hidden Gradient</w:t>
        </w:r>
      </w:hyperlink>
      <w:r>
        <w:t>’</w:t>
      </w:r>
      <w:r w:rsidR="0014180C">
        <w:t>, Red Hill, Florey,</w:t>
      </w:r>
      <w:r w:rsidR="0050626E">
        <w:t xml:space="preserve"> and</w:t>
      </w:r>
      <w:r w:rsidR="0014180C">
        <w:t xml:space="preserve"> Re</w:t>
      </w:r>
      <w:r w:rsidR="008E2C2E">
        <w:t>id are use</w:t>
      </w:r>
      <w:r w:rsidR="009F4A39">
        <w:t xml:space="preserve">d to demonstrate that the </w:t>
      </w:r>
      <w:r w:rsidR="0050626E">
        <w:t xml:space="preserve">shortcomings in </w:t>
      </w:r>
      <w:r w:rsidR="009F4A39">
        <w:t xml:space="preserve">the SEIFA methodology are especially pronounced in areas </w:t>
      </w:r>
      <w:r w:rsidR="0050626E">
        <w:t xml:space="preserve">of the ACT </w:t>
      </w:r>
      <w:r w:rsidR="009F4A39">
        <w:t>with above average proportions of both Group 1 and Group 4 individuals</w:t>
      </w:r>
      <w:r w:rsidR="00D63423">
        <w:t xml:space="preserve"> aged 15-64</w:t>
      </w:r>
      <w:r w:rsidR="009F4A39">
        <w:t xml:space="preserve">. As identified by Wise and Mathews, there is a high prevalence of socio-economic diversity within areas of the ACT, </w:t>
      </w:r>
      <w:r w:rsidR="00C54870">
        <w:t xml:space="preserve">and this contributes significantly to the underrepresentation of disadvantage by SEIFA. This analysis reveals that </w:t>
      </w:r>
      <w:r w:rsidR="0050626E">
        <w:t xml:space="preserve">over </w:t>
      </w:r>
      <w:r w:rsidR="00C54870">
        <w:t xml:space="preserve">8,000 ACT residents </w:t>
      </w:r>
      <w:r w:rsidR="00D63423">
        <w:t xml:space="preserve">aged 15-64 living in </w:t>
      </w:r>
      <w:r w:rsidR="00C54870">
        <w:t>diverse collection district</w:t>
      </w:r>
      <w:r w:rsidR="00D63423">
        <w:t>s</w:t>
      </w:r>
      <w:r w:rsidR="00C54870">
        <w:t xml:space="preserve"> ar</w:t>
      </w:r>
      <w:r w:rsidR="00117B11">
        <w:t>e currently being hidden by the SEIFA score</w:t>
      </w:r>
      <w:r w:rsidR="00D63423">
        <w:t xml:space="preserve"> of their neighbourhood</w:t>
      </w:r>
      <w:r w:rsidR="0050626E">
        <w:t>.</w:t>
      </w:r>
      <w:r w:rsidR="00C54870">
        <w:t xml:space="preserve"> </w:t>
      </w:r>
    </w:p>
    <w:p w:rsidR="00F741F7" w:rsidRDefault="00155A00" w:rsidP="00590738">
      <w:r>
        <w:t>While the SEIFI</w:t>
      </w:r>
      <w:r w:rsidR="00D63423">
        <w:t xml:space="preserve"> IRSD</w:t>
      </w:r>
      <w:r>
        <w:t xml:space="preserve"> data revealed that most ACT su</w:t>
      </w:r>
      <w:r w:rsidR="00857C32">
        <w:t>burbs have</w:t>
      </w:r>
      <w:r w:rsidR="00CA30D1">
        <w:t xml:space="preserve"> relatively low proportions of Group 1</w:t>
      </w:r>
      <w:r w:rsidR="00857C32">
        <w:t xml:space="preserve"> individuals</w:t>
      </w:r>
      <w:r w:rsidR="00D63423">
        <w:t xml:space="preserve"> aged 15-64</w:t>
      </w:r>
      <w:r w:rsidR="00857C32">
        <w:t>, subu</w:t>
      </w:r>
      <w:r w:rsidR="00CA30D1">
        <w:t>rb</w:t>
      </w:r>
      <w:r w:rsidR="00117B11">
        <w:t xml:space="preserve"> population sizes vary widely, </w:t>
      </w:r>
      <w:r w:rsidR="00185FEA">
        <w:t>which</w:t>
      </w:r>
      <w:r w:rsidR="00CA30D1">
        <w:t xml:space="preserve"> </w:t>
      </w:r>
      <w:r w:rsidR="00857C32">
        <w:t xml:space="preserve">can have a significant impact </w:t>
      </w:r>
      <w:r w:rsidR="00CA30D1">
        <w:t>on the interpretation of SEIFI and the overall burden of disadvantage</w:t>
      </w:r>
      <w:r w:rsidR="00857C32">
        <w:t>. In ‘</w:t>
      </w:r>
      <w:hyperlink w:anchor="_The_Hidden_Majority:" w:history="1">
        <w:r w:rsidR="006E00CB">
          <w:rPr>
            <w:rStyle w:val="Hyperlink"/>
          </w:rPr>
          <w:t>The Hidden Majority</w:t>
        </w:r>
      </w:hyperlink>
      <w:r w:rsidR="00857C32">
        <w:t>’</w:t>
      </w:r>
      <w:r w:rsidR="008D7B44">
        <w:t>,</w:t>
      </w:r>
      <w:r w:rsidR="00E97269">
        <w:t xml:space="preserve"> </w:t>
      </w:r>
      <w:r w:rsidR="00D43E06">
        <w:t xml:space="preserve">Kaleen, </w:t>
      </w:r>
      <w:proofErr w:type="spellStart"/>
      <w:r w:rsidR="00D43E06">
        <w:t>Narrabundah</w:t>
      </w:r>
      <w:proofErr w:type="spellEnd"/>
      <w:r w:rsidR="00D43E06">
        <w:t xml:space="preserve">, and </w:t>
      </w:r>
      <w:proofErr w:type="spellStart"/>
      <w:r w:rsidR="00D43E06">
        <w:t>Ngunnawal</w:t>
      </w:r>
      <w:proofErr w:type="spellEnd"/>
      <w:r w:rsidR="00D43E06">
        <w:t xml:space="preserve"> are use</w:t>
      </w:r>
      <w:r w:rsidR="00185FEA">
        <w:t>d</w:t>
      </w:r>
      <w:r w:rsidR="00D43E06">
        <w:t xml:space="preserve"> to illustrate that areas with high SEIFI scores and low Group 1 proportions</w:t>
      </w:r>
      <w:r w:rsidR="00F83F00">
        <w:t xml:space="preserve"> </w:t>
      </w:r>
      <w:r w:rsidR="00185FEA">
        <w:t xml:space="preserve">support </w:t>
      </w:r>
      <w:r w:rsidR="00D63423">
        <w:t>most of the ACT’s highly disadvantaged individuals in the 15-64 age group</w:t>
      </w:r>
      <w:r w:rsidR="000644F1">
        <w:t>. In ‘</w:t>
      </w:r>
      <w:hyperlink w:anchor="_Low_Visibility,_High" w:history="1">
        <w:r w:rsidR="00067F1A" w:rsidRPr="00067F1A">
          <w:rPr>
            <w:rStyle w:val="Hyperlink"/>
          </w:rPr>
          <w:t xml:space="preserve">Low </w:t>
        </w:r>
        <w:r w:rsidR="00067F1A" w:rsidRPr="00067F1A">
          <w:rPr>
            <w:rStyle w:val="Hyperlink"/>
          </w:rPr>
          <w:lastRenderedPageBreak/>
          <w:t>Visibility, High Risk</w:t>
        </w:r>
      </w:hyperlink>
      <w:r w:rsidR="000644F1">
        <w:t xml:space="preserve">’, City is used to demonstrate </w:t>
      </w:r>
      <w:r w:rsidR="00F741F7">
        <w:t xml:space="preserve">that disadvantaged individuals in suburbs with high SEIFA scores but small populations </w:t>
      </w:r>
      <w:r w:rsidR="00185FEA">
        <w:t>may experience additional risk due to poor visibility</w:t>
      </w:r>
      <w:r w:rsidR="00F741F7">
        <w:t xml:space="preserve">. </w:t>
      </w:r>
    </w:p>
    <w:p w:rsidR="00590738" w:rsidRDefault="00BE5C2D" w:rsidP="00590738">
      <w:r>
        <w:t xml:space="preserve">Finally, </w:t>
      </w:r>
      <w:r w:rsidR="002E6F5C">
        <w:t>the SEIFI analysis revealed that the ACT has a relatively small Group 2 population and in fact there are fewer Group 2 individuals residing in the ACT than individuals in Group 1. In ‘</w:t>
      </w:r>
      <w:hyperlink w:anchor="_The_Group_2" w:history="1">
        <w:r w:rsidR="002E6F5C" w:rsidRPr="00067F1A">
          <w:rPr>
            <w:rStyle w:val="Hyperlink"/>
          </w:rPr>
          <w:t>The Group 2 Phenomenon</w:t>
        </w:r>
      </w:hyperlink>
      <w:r w:rsidR="002E6F5C">
        <w:t xml:space="preserve">’, Isabella Plains and </w:t>
      </w:r>
      <w:proofErr w:type="spellStart"/>
      <w:r w:rsidR="002E6F5C">
        <w:t>Kambah</w:t>
      </w:r>
      <w:proofErr w:type="spellEnd"/>
      <w:r w:rsidR="002E6F5C">
        <w:t xml:space="preserve"> are used to demonstrate the observed geographic clustering of the Group 2 population in the </w:t>
      </w:r>
      <w:r w:rsidR="009F293F">
        <w:t>Tuggeranong area</w:t>
      </w:r>
      <w:r w:rsidR="002E6F5C">
        <w:t xml:space="preserve">. </w:t>
      </w:r>
      <w:r w:rsidR="00ED13A9">
        <w:t>While proportions are small, Tuggeranong is one of the most populous subdivisions in the AC</w:t>
      </w:r>
      <w:r w:rsidR="00504709">
        <w:t>T, and individuals who fall int</w:t>
      </w:r>
      <w:r w:rsidR="00ED13A9">
        <w:t xml:space="preserve">o Group 2 may experience different vulnerabilities than individuals in Group 1 </w:t>
      </w:r>
      <w:r w:rsidR="00504709">
        <w:t xml:space="preserve">which </w:t>
      </w:r>
      <w:r w:rsidR="00A36A0A">
        <w:t>may</w:t>
      </w:r>
      <w:r w:rsidR="00ED13A9">
        <w:t xml:space="preserve"> require specific consideration</w:t>
      </w:r>
      <w:r w:rsidR="00A36A0A">
        <w:t>s</w:t>
      </w:r>
      <w:r w:rsidR="00ED13A9">
        <w:t xml:space="preserve">. </w:t>
      </w:r>
    </w:p>
    <w:p w:rsidR="00590738" w:rsidRPr="00CB4820" w:rsidRDefault="00590738" w:rsidP="00CC42F3">
      <w:pPr>
        <w:pStyle w:val="Heading3"/>
        <w:spacing w:before="200"/>
      </w:pPr>
      <w:bookmarkStart w:id="24" w:name="_Comparing_Neighbours:_Measuring"/>
      <w:bookmarkStart w:id="25" w:name="_Comparing_Neighbours:_Measuring_1"/>
      <w:bookmarkStart w:id="26" w:name="_Toc358033195"/>
      <w:bookmarkEnd w:id="24"/>
      <w:bookmarkEnd w:id="25"/>
      <w:r w:rsidRPr="00CB4820">
        <w:t>C</w:t>
      </w:r>
      <w:r w:rsidR="00B90E9E">
        <w:t>omparing Neighbours: Measuring Disadvantage at the Suburb vs. C</w:t>
      </w:r>
      <w:r w:rsidRPr="00CB4820">
        <w:t xml:space="preserve">ollection </w:t>
      </w:r>
      <w:r w:rsidR="00B90E9E">
        <w:t>District L</w:t>
      </w:r>
      <w:r w:rsidRPr="00CB4820">
        <w:t>evel</w:t>
      </w:r>
      <w:bookmarkEnd w:id="26"/>
    </w:p>
    <w:p w:rsidR="00590738" w:rsidRPr="008230AD" w:rsidRDefault="00D67B26" w:rsidP="008230AD">
      <w:pPr>
        <w:pStyle w:val="Heading4"/>
      </w:pPr>
      <w:r w:rsidRPr="008230AD">
        <w:pict>
          <v:shape id="_x0000_s1052" type="#_x0000_t202" style="position:absolute;margin-left:252.3pt;margin-top:3.35pt;width:220.9pt;height:191.35pt;z-index:251717632;mso-width-relative:margin;mso-height-relative:margin" filled="f" stroked="f">
            <v:textbox style="mso-next-textbox:#_x0000_s1052">
              <w:txbxContent>
                <w:p w:rsidR="006B6874" w:rsidRPr="00231618" w:rsidRDefault="006B6874" w:rsidP="00612C2B">
                  <w:pPr>
                    <w:pStyle w:val="ListParagraph"/>
                    <w:numPr>
                      <w:ilvl w:val="0"/>
                      <w:numId w:val="20"/>
                    </w:numPr>
                    <w:ind w:left="993" w:hanging="993"/>
                    <w:rPr>
                      <w:b/>
                      <w:color w:val="244061" w:themeColor="accent1" w:themeShade="80"/>
                    </w:rPr>
                  </w:pPr>
                  <w:r w:rsidRPr="00231618">
                    <w:rPr>
                      <w:b/>
                      <w:color w:val="244061" w:themeColor="accent1" w:themeShade="80"/>
                    </w:rPr>
                    <w:t xml:space="preserve">Suburb-level SEIFA </w:t>
                  </w:r>
                  <w:r>
                    <w:rPr>
                      <w:b/>
                      <w:color w:val="244061" w:themeColor="accent1" w:themeShade="80"/>
                    </w:rPr>
                    <w:t xml:space="preserve">IRSD </w:t>
                  </w:r>
                  <w:r w:rsidRPr="00231618">
                    <w:rPr>
                      <w:b/>
                      <w:color w:val="244061" w:themeColor="accent1" w:themeShade="80"/>
                    </w:rPr>
                    <w:t xml:space="preserve">and SEIFI </w:t>
                  </w:r>
                  <w:r>
                    <w:rPr>
                      <w:b/>
                      <w:color w:val="244061" w:themeColor="accent1" w:themeShade="80"/>
                    </w:rPr>
                    <w:t xml:space="preserve">IRSD </w:t>
                  </w:r>
                  <w:r w:rsidRPr="00231618">
                    <w:rPr>
                      <w:b/>
                      <w:color w:val="244061" w:themeColor="accent1" w:themeShade="80"/>
                    </w:rPr>
                    <w:t xml:space="preserve">data, </w:t>
                  </w:r>
                  <w:r>
                    <w:rPr>
                      <w:b/>
                      <w:color w:val="244061" w:themeColor="accent1" w:themeShade="80"/>
                    </w:rPr>
                    <w:t xml:space="preserve">Ainslie and </w:t>
                  </w:r>
                  <w:proofErr w:type="spellStart"/>
                  <w:r>
                    <w:rPr>
                      <w:b/>
                      <w:color w:val="244061" w:themeColor="accent1" w:themeShade="80"/>
                    </w:rPr>
                    <w:t>Braddon</w:t>
                  </w:r>
                  <w:proofErr w:type="spellEnd"/>
                </w:p>
                <w:tbl>
                  <w:tblPr>
                    <w:tblStyle w:val="MediumShading1-Accent5"/>
                    <w:tblW w:w="436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2093"/>
                    <w:gridCol w:w="1134"/>
                    <w:gridCol w:w="1134"/>
                  </w:tblGrid>
                  <w:tr w:rsidR="006B6874" w:rsidTr="00962674">
                    <w:trPr>
                      <w:cnfStyle w:val="100000000000"/>
                    </w:trPr>
                    <w:tc>
                      <w:tcPr>
                        <w:cnfStyle w:val="001000000000"/>
                        <w:tcW w:w="2093" w:type="dxa"/>
                        <w:tcBorders>
                          <w:top w:val="nil"/>
                          <w:left w:val="nil"/>
                          <w:right w:val="single" w:sz="8" w:space="0" w:color="FFFFFF" w:themeColor="background1"/>
                        </w:tcBorders>
                        <w:shd w:val="clear" w:color="auto" w:fill="auto"/>
                      </w:tcPr>
                      <w:p w:rsidR="006B6874" w:rsidRPr="00577495" w:rsidRDefault="006B6874" w:rsidP="00962674">
                        <w:pPr>
                          <w:jc w:val="center"/>
                          <w:rPr>
                            <w:sz w:val="20"/>
                            <w:szCs w:val="20"/>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577495" w:rsidRDefault="006B6874" w:rsidP="00962674">
                        <w:pPr>
                          <w:spacing w:before="40" w:after="40"/>
                          <w:jc w:val="center"/>
                          <w:cnfStyle w:val="100000000000"/>
                          <w:rPr>
                            <w:b w:val="0"/>
                            <w:bCs w:val="0"/>
                            <w:sz w:val="20"/>
                            <w:szCs w:val="20"/>
                          </w:rPr>
                        </w:pPr>
                        <w:r>
                          <w:rPr>
                            <w:b w:val="0"/>
                            <w:bCs w:val="0"/>
                            <w:sz w:val="20"/>
                            <w:szCs w:val="20"/>
                          </w:rPr>
                          <w:t>Ainslie</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577495" w:rsidRDefault="006B6874" w:rsidP="00962674">
                        <w:pPr>
                          <w:spacing w:before="40" w:after="40"/>
                          <w:jc w:val="center"/>
                          <w:cnfStyle w:val="100000000000"/>
                          <w:rPr>
                            <w:b w:val="0"/>
                            <w:bCs w:val="0"/>
                            <w:sz w:val="20"/>
                            <w:szCs w:val="20"/>
                          </w:rPr>
                        </w:pPr>
                        <w:proofErr w:type="spellStart"/>
                        <w:r>
                          <w:rPr>
                            <w:b w:val="0"/>
                            <w:bCs w:val="0"/>
                            <w:sz w:val="20"/>
                            <w:szCs w:val="20"/>
                          </w:rPr>
                          <w:t>Braddon</w:t>
                        </w:r>
                        <w:proofErr w:type="spellEnd"/>
                      </w:p>
                    </w:tc>
                  </w:tr>
                  <w:tr w:rsidR="006B6874" w:rsidTr="00962674">
                    <w:trPr>
                      <w:cnfStyle w:val="000000100000"/>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 xml:space="preserve">SEIFA </w:t>
                        </w:r>
                        <w:proofErr w:type="spellStart"/>
                        <w:r w:rsidRPr="00577495">
                          <w:rPr>
                            <w:b w:val="0"/>
                            <w:bCs w:val="0"/>
                            <w:color w:val="FFFFFF" w:themeColor="background1"/>
                            <w:sz w:val="20"/>
                            <w:szCs w:val="20"/>
                          </w:rPr>
                          <w:t>decile</w:t>
                        </w:r>
                        <w:proofErr w:type="spellEnd"/>
                        <w:r w:rsidRPr="00577495">
                          <w:rPr>
                            <w:b w:val="0"/>
                            <w:bCs w:val="0"/>
                            <w:color w:val="FFFFFF" w:themeColor="background1"/>
                            <w:sz w:val="20"/>
                            <w:szCs w:val="20"/>
                          </w:rPr>
                          <w:t xml:space="preserve"> score</w:t>
                        </w:r>
                      </w:p>
                    </w:tc>
                    <w:tc>
                      <w:tcPr>
                        <w:tcW w:w="1134" w:type="dxa"/>
                        <w:tcBorders>
                          <w:left w:val="single" w:sz="8" w:space="0" w:color="FFFFFF" w:themeColor="background1"/>
                          <w:right w:val="single" w:sz="8" w:space="0" w:color="FFFFFF" w:themeColor="background1"/>
                        </w:tcBorders>
                        <w:vAlign w:val="center"/>
                      </w:tcPr>
                      <w:p w:rsidR="006B6874" w:rsidRPr="00577495" w:rsidRDefault="006B6874" w:rsidP="00962674">
                        <w:pPr>
                          <w:jc w:val="center"/>
                          <w:cnfStyle w:val="000000100000"/>
                          <w:rPr>
                            <w:sz w:val="20"/>
                            <w:szCs w:val="20"/>
                          </w:rPr>
                        </w:pPr>
                        <w:r>
                          <w:rPr>
                            <w:sz w:val="20"/>
                            <w:szCs w:val="20"/>
                          </w:rPr>
                          <w:t>7</w:t>
                        </w:r>
                      </w:p>
                    </w:tc>
                    <w:tc>
                      <w:tcPr>
                        <w:tcW w:w="1134" w:type="dxa"/>
                        <w:tcBorders>
                          <w:left w:val="single" w:sz="8" w:space="0" w:color="FFFFFF" w:themeColor="background1"/>
                        </w:tcBorders>
                        <w:vAlign w:val="center"/>
                      </w:tcPr>
                      <w:p w:rsidR="006B6874" w:rsidRPr="00577495" w:rsidRDefault="006B6874" w:rsidP="00962674">
                        <w:pPr>
                          <w:jc w:val="center"/>
                          <w:cnfStyle w:val="000000100000"/>
                          <w:rPr>
                            <w:bCs/>
                            <w:sz w:val="20"/>
                            <w:szCs w:val="20"/>
                          </w:rPr>
                        </w:pPr>
                        <w:r>
                          <w:rPr>
                            <w:bCs/>
                            <w:sz w:val="20"/>
                            <w:szCs w:val="20"/>
                          </w:rPr>
                          <w:t>4</w:t>
                        </w:r>
                      </w:p>
                    </w:tc>
                  </w:tr>
                  <w:tr w:rsidR="006B6874" w:rsidTr="00962674">
                    <w:trPr>
                      <w:cnfStyle w:val="000000010000"/>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Usual Resident Pop.</w:t>
                        </w:r>
                      </w:p>
                    </w:tc>
                    <w:tc>
                      <w:tcPr>
                        <w:tcW w:w="1134" w:type="dxa"/>
                        <w:tcBorders>
                          <w:left w:val="single" w:sz="8" w:space="0" w:color="FFFFFF" w:themeColor="background1"/>
                          <w:right w:val="single" w:sz="8" w:space="0" w:color="FFFFFF" w:themeColor="background1"/>
                        </w:tcBorders>
                        <w:vAlign w:val="center"/>
                      </w:tcPr>
                      <w:p w:rsidR="006B6874" w:rsidRPr="00577495" w:rsidRDefault="006B6874" w:rsidP="00962674">
                        <w:pPr>
                          <w:jc w:val="center"/>
                          <w:cnfStyle w:val="000000010000"/>
                          <w:rPr>
                            <w:sz w:val="20"/>
                            <w:szCs w:val="20"/>
                          </w:rPr>
                        </w:pPr>
                        <w:r>
                          <w:rPr>
                            <w:sz w:val="20"/>
                            <w:szCs w:val="20"/>
                          </w:rPr>
                          <w:t>4,814</w:t>
                        </w:r>
                      </w:p>
                    </w:tc>
                    <w:tc>
                      <w:tcPr>
                        <w:tcW w:w="1134" w:type="dxa"/>
                        <w:tcBorders>
                          <w:left w:val="single" w:sz="8" w:space="0" w:color="FFFFFF" w:themeColor="background1"/>
                        </w:tcBorders>
                        <w:vAlign w:val="center"/>
                      </w:tcPr>
                      <w:p w:rsidR="006B6874" w:rsidRPr="00577495" w:rsidRDefault="006B6874" w:rsidP="00962674">
                        <w:pPr>
                          <w:jc w:val="center"/>
                          <w:cnfStyle w:val="000000010000"/>
                          <w:rPr>
                            <w:bCs/>
                            <w:sz w:val="20"/>
                            <w:szCs w:val="20"/>
                          </w:rPr>
                        </w:pPr>
                        <w:r>
                          <w:rPr>
                            <w:bCs/>
                            <w:sz w:val="20"/>
                            <w:szCs w:val="20"/>
                          </w:rPr>
                          <w:t>3,575</w:t>
                        </w:r>
                      </w:p>
                    </w:tc>
                  </w:tr>
                  <w:tr w:rsidR="006B6874" w:rsidTr="00962674">
                    <w:trPr>
                      <w:cnfStyle w:val="000000100000"/>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15 to 64 Aged Pop.</w:t>
                        </w:r>
                      </w:p>
                    </w:tc>
                    <w:tc>
                      <w:tcPr>
                        <w:tcW w:w="1134" w:type="dxa"/>
                        <w:tcBorders>
                          <w:left w:val="single" w:sz="8" w:space="0" w:color="FFFFFF" w:themeColor="background1"/>
                          <w:right w:val="single" w:sz="8" w:space="0" w:color="FFFFFF" w:themeColor="background1"/>
                        </w:tcBorders>
                        <w:vAlign w:val="center"/>
                      </w:tcPr>
                      <w:p w:rsidR="006B6874" w:rsidRPr="00577495" w:rsidRDefault="006B6874" w:rsidP="00962674">
                        <w:pPr>
                          <w:jc w:val="center"/>
                          <w:cnfStyle w:val="000000100000"/>
                          <w:rPr>
                            <w:sz w:val="20"/>
                            <w:szCs w:val="20"/>
                          </w:rPr>
                        </w:pPr>
                        <w:r>
                          <w:rPr>
                            <w:sz w:val="20"/>
                            <w:szCs w:val="20"/>
                          </w:rPr>
                          <w:t>3,257</w:t>
                        </w:r>
                      </w:p>
                    </w:tc>
                    <w:tc>
                      <w:tcPr>
                        <w:tcW w:w="1134" w:type="dxa"/>
                        <w:tcBorders>
                          <w:left w:val="single" w:sz="8" w:space="0" w:color="FFFFFF" w:themeColor="background1"/>
                        </w:tcBorders>
                        <w:vAlign w:val="center"/>
                      </w:tcPr>
                      <w:p w:rsidR="006B6874" w:rsidRPr="00577495" w:rsidRDefault="006B6874" w:rsidP="00962674">
                        <w:pPr>
                          <w:jc w:val="center"/>
                          <w:cnfStyle w:val="000000100000"/>
                          <w:rPr>
                            <w:bCs/>
                            <w:sz w:val="20"/>
                            <w:szCs w:val="20"/>
                          </w:rPr>
                        </w:pPr>
                        <w:r>
                          <w:rPr>
                            <w:bCs/>
                            <w:sz w:val="20"/>
                            <w:szCs w:val="20"/>
                          </w:rPr>
                          <w:t>3,086</w:t>
                        </w:r>
                      </w:p>
                    </w:tc>
                  </w:tr>
                  <w:tr w:rsidR="006B6874" w:rsidTr="00962674">
                    <w:trPr>
                      <w:cnfStyle w:val="000000010000"/>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SEIFI Group 1 (%)</w:t>
                        </w:r>
                      </w:p>
                    </w:tc>
                    <w:tc>
                      <w:tcPr>
                        <w:tcW w:w="1134" w:type="dxa"/>
                        <w:tcBorders>
                          <w:left w:val="single" w:sz="8" w:space="0" w:color="FFFFFF" w:themeColor="background1"/>
                          <w:right w:val="single" w:sz="8" w:space="0" w:color="FFFFFF" w:themeColor="background1"/>
                        </w:tcBorders>
                        <w:vAlign w:val="center"/>
                      </w:tcPr>
                      <w:p w:rsidR="006B6874" w:rsidRPr="00577495" w:rsidRDefault="006B6874" w:rsidP="00962674">
                        <w:pPr>
                          <w:jc w:val="center"/>
                          <w:cnfStyle w:val="000000010000"/>
                          <w:rPr>
                            <w:sz w:val="20"/>
                            <w:szCs w:val="20"/>
                          </w:rPr>
                        </w:pPr>
                        <w:r>
                          <w:rPr>
                            <w:sz w:val="20"/>
                            <w:szCs w:val="20"/>
                          </w:rPr>
                          <w:t>16.7</w:t>
                        </w:r>
                        <w:r w:rsidRPr="00577495">
                          <w:rPr>
                            <w:sz w:val="20"/>
                            <w:szCs w:val="20"/>
                          </w:rPr>
                          <w:t>%</w:t>
                        </w:r>
                      </w:p>
                    </w:tc>
                    <w:tc>
                      <w:tcPr>
                        <w:tcW w:w="1134" w:type="dxa"/>
                        <w:tcBorders>
                          <w:left w:val="single" w:sz="8" w:space="0" w:color="FFFFFF" w:themeColor="background1"/>
                        </w:tcBorders>
                        <w:vAlign w:val="center"/>
                      </w:tcPr>
                      <w:p w:rsidR="006B6874" w:rsidRPr="00577495" w:rsidRDefault="006B6874" w:rsidP="00962674">
                        <w:pPr>
                          <w:jc w:val="center"/>
                          <w:cnfStyle w:val="000000010000"/>
                          <w:rPr>
                            <w:bCs/>
                            <w:sz w:val="20"/>
                            <w:szCs w:val="20"/>
                          </w:rPr>
                        </w:pPr>
                        <w:r>
                          <w:rPr>
                            <w:bCs/>
                            <w:sz w:val="20"/>
                            <w:szCs w:val="20"/>
                          </w:rPr>
                          <w:t>17.3</w:t>
                        </w:r>
                        <w:r w:rsidRPr="00577495">
                          <w:rPr>
                            <w:bCs/>
                            <w:sz w:val="20"/>
                            <w:szCs w:val="20"/>
                          </w:rPr>
                          <w:t>%</w:t>
                        </w:r>
                      </w:p>
                    </w:tc>
                  </w:tr>
                  <w:tr w:rsidR="006B6874" w:rsidTr="00962674">
                    <w:trPr>
                      <w:cnfStyle w:val="000000100000"/>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SEIFI Group 2 (%)</w:t>
                        </w:r>
                      </w:p>
                    </w:tc>
                    <w:tc>
                      <w:tcPr>
                        <w:tcW w:w="1134" w:type="dxa"/>
                        <w:tcBorders>
                          <w:left w:val="single" w:sz="8" w:space="0" w:color="FFFFFF" w:themeColor="background1"/>
                          <w:right w:val="single" w:sz="8" w:space="0" w:color="FFFFFF" w:themeColor="background1"/>
                        </w:tcBorders>
                        <w:vAlign w:val="center"/>
                      </w:tcPr>
                      <w:p w:rsidR="006B6874" w:rsidRPr="00577495" w:rsidRDefault="006B6874" w:rsidP="00962674">
                        <w:pPr>
                          <w:jc w:val="center"/>
                          <w:cnfStyle w:val="000000100000"/>
                          <w:rPr>
                            <w:sz w:val="20"/>
                            <w:szCs w:val="20"/>
                          </w:rPr>
                        </w:pPr>
                        <w:r>
                          <w:rPr>
                            <w:sz w:val="20"/>
                            <w:szCs w:val="20"/>
                          </w:rPr>
                          <w:t>6.4</w:t>
                        </w:r>
                        <w:r w:rsidRPr="00577495">
                          <w:rPr>
                            <w:sz w:val="20"/>
                            <w:szCs w:val="20"/>
                          </w:rPr>
                          <w:t>%</w:t>
                        </w:r>
                      </w:p>
                    </w:tc>
                    <w:tc>
                      <w:tcPr>
                        <w:tcW w:w="1134" w:type="dxa"/>
                        <w:tcBorders>
                          <w:left w:val="single" w:sz="8" w:space="0" w:color="FFFFFF" w:themeColor="background1"/>
                        </w:tcBorders>
                        <w:vAlign w:val="center"/>
                      </w:tcPr>
                      <w:p w:rsidR="006B6874" w:rsidRPr="00577495" w:rsidRDefault="006B6874" w:rsidP="00962674">
                        <w:pPr>
                          <w:jc w:val="center"/>
                          <w:cnfStyle w:val="000000100000"/>
                          <w:rPr>
                            <w:bCs/>
                            <w:sz w:val="20"/>
                            <w:szCs w:val="20"/>
                          </w:rPr>
                        </w:pPr>
                        <w:r>
                          <w:rPr>
                            <w:bCs/>
                            <w:sz w:val="20"/>
                            <w:szCs w:val="20"/>
                          </w:rPr>
                          <w:t>3.7</w:t>
                        </w:r>
                        <w:r w:rsidRPr="00577495">
                          <w:rPr>
                            <w:bCs/>
                            <w:sz w:val="20"/>
                            <w:szCs w:val="20"/>
                          </w:rPr>
                          <w:t>%</w:t>
                        </w:r>
                      </w:p>
                    </w:tc>
                  </w:tr>
                  <w:tr w:rsidR="006B6874" w:rsidTr="00962674">
                    <w:trPr>
                      <w:cnfStyle w:val="000000010000"/>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SEIFI Group 3 (%)</w:t>
                        </w:r>
                      </w:p>
                    </w:tc>
                    <w:tc>
                      <w:tcPr>
                        <w:tcW w:w="1134" w:type="dxa"/>
                        <w:tcBorders>
                          <w:left w:val="single" w:sz="8" w:space="0" w:color="FFFFFF" w:themeColor="background1"/>
                          <w:right w:val="single" w:sz="8" w:space="0" w:color="FFFFFF" w:themeColor="background1"/>
                        </w:tcBorders>
                        <w:vAlign w:val="center"/>
                      </w:tcPr>
                      <w:p w:rsidR="006B6874" w:rsidRPr="00577495" w:rsidRDefault="006B6874" w:rsidP="00962674">
                        <w:pPr>
                          <w:jc w:val="center"/>
                          <w:cnfStyle w:val="000000010000"/>
                          <w:rPr>
                            <w:sz w:val="20"/>
                            <w:szCs w:val="20"/>
                          </w:rPr>
                        </w:pPr>
                        <w:r>
                          <w:rPr>
                            <w:sz w:val="20"/>
                            <w:szCs w:val="20"/>
                          </w:rPr>
                          <w:t>25.3</w:t>
                        </w:r>
                        <w:r w:rsidRPr="00577495">
                          <w:rPr>
                            <w:sz w:val="20"/>
                            <w:szCs w:val="20"/>
                          </w:rPr>
                          <w:t>%</w:t>
                        </w:r>
                      </w:p>
                    </w:tc>
                    <w:tc>
                      <w:tcPr>
                        <w:tcW w:w="1134" w:type="dxa"/>
                        <w:tcBorders>
                          <w:left w:val="single" w:sz="8" w:space="0" w:color="FFFFFF" w:themeColor="background1"/>
                        </w:tcBorders>
                        <w:vAlign w:val="center"/>
                      </w:tcPr>
                      <w:p w:rsidR="006B6874" w:rsidRPr="00577495" w:rsidRDefault="006B6874" w:rsidP="00962674">
                        <w:pPr>
                          <w:jc w:val="center"/>
                          <w:cnfStyle w:val="000000010000"/>
                          <w:rPr>
                            <w:bCs/>
                            <w:sz w:val="20"/>
                            <w:szCs w:val="20"/>
                          </w:rPr>
                        </w:pPr>
                        <w:r>
                          <w:rPr>
                            <w:bCs/>
                            <w:sz w:val="20"/>
                            <w:szCs w:val="20"/>
                          </w:rPr>
                          <w:t>27.9</w:t>
                        </w:r>
                        <w:r w:rsidRPr="00577495">
                          <w:rPr>
                            <w:bCs/>
                            <w:sz w:val="20"/>
                            <w:szCs w:val="20"/>
                          </w:rPr>
                          <w:t>%</w:t>
                        </w:r>
                      </w:p>
                    </w:tc>
                  </w:tr>
                  <w:tr w:rsidR="006B6874" w:rsidTr="00962674">
                    <w:trPr>
                      <w:cnfStyle w:val="000000100000"/>
                      <w:trHeight w:val="67"/>
                    </w:trPr>
                    <w:tc>
                      <w:tcPr>
                        <w:cnfStyle w:val="001000000000"/>
                        <w:tcW w:w="2093" w:type="dxa"/>
                        <w:tcBorders>
                          <w:bottom w:val="single" w:sz="8" w:space="0" w:color="FFFFFF" w:themeColor="background1"/>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sidRPr="00577495">
                          <w:rPr>
                            <w:b w:val="0"/>
                            <w:bCs w:val="0"/>
                            <w:color w:val="FFFFFF" w:themeColor="background1"/>
                            <w:sz w:val="20"/>
                            <w:szCs w:val="20"/>
                          </w:rPr>
                          <w:t>SEIFI Group 4 (%)</w:t>
                        </w:r>
                      </w:p>
                    </w:tc>
                    <w:tc>
                      <w:tcPr>
                        <w:tcW w:w="1134" w:type="dxa"/>
                        <w:tcBorders>
                          <w:left w:val="single" w:sz="8" w:space="0" w:color="FFFFFF" w:themeColor="background1"/>
                          <w:bottom w:val="single" w:sz="8" w:space="0" w:color="FFFFFF" w:themeColor="background1"/>
                          <w:right w:val="single" w:sz="8" w:space="0" w:color="FFFFFF" w:themeColor="background1"/>
                        </w:tcBorders>
                        <w:vAlign w:val="center"/>
                      </w:tcPr>
                      <w:p w:rsidR="006B6874" w:rsidRPr="00577495" w:rsidRDefault="006B6874" w:rsidP="00962674">
                        <w:pPr>
                          <w:jc w:val="center"/>
                          <w:cnfStyle w:val="000000100000"/>
                          <w:rPr>
                            <w:sz w:val="20"/>
                            <w:szCs w:val="20"/>
                          </w:rPr>
                        </w:pPr>
                        <w:r>
                          <w:rPr>
                            <w:sz w:val="20"/>
                            <w:szCs w:val="20"/>
                          </w:rPr>
                          <w:t>51.6</w:t>
                        </w:r>
                        <w:r w:rsidRPr="00577495">
                          <w:rPr>
                            <w:sz w:val="20"/>
                            <w:szCs w:val="20"/>
                          </w:rPr>
                          <w:t>%</w:t>
                        </w:r>
                      </w:p>
                    </w:tc>
                    <w:tc>
                      <w:tcPr>
                        <w:tcW w:w="1134" w:type="dxa"/>
                        <w:tcBorders>
                          <w:left w:val="single" w:sz="8" w:space="0" w:color="FFFFFF" w:themeColor="background1"/>
                          <w:bottom w:val="single" w:sz="8" w:space="0" w:color="FFFFFF" w:themeColor="background1"/>
                        </w:tcBorders>
                        <w:vAlign w:val="center"/>
                      </w:tcPr>
                      <w:p w:rsidR="006B6874" w:rsidRPr="00577495" w:rsidRDefault="006B6874" w:rsidP="00962674">
                        <w:pPr>
                          <w:jc w:val="center"/>
                          <w:cnfStyle w:val="000000100000"/>
                          <w:rPr>
                            <w:bCs/>
                            <w:sz w:val="20"/>
                            <w:szCs w:val="20"/>
                          </w:rPr>
                        </w:pPr>
                        <w:r>
                          <w:rPr>
                            <w:bCs/>
                            <w:sz w:val="20"/>
                            <w:szCs w:val="20"/>
                          </w:rPr>
                          <w:t>51.0</w:t>
                        </w:r>
                        <w:r w:rsidRPr="00577495">
                          <w:rPr>
                            <w:bCs/>
                            <w:sz w:val="20"/>
                            <w:szCs w:val="20"/>
                          </w:rPr>
                          <w:t>%</w:t>
                        </w:r>
                      </w:p>
                    </w:tc>
                  </w:tr>
                  <w:tr w:rsidR="006B6874" w:rsidTr="00962674">
                    <w:trPr>
                      <w:cnfStyle w:val="000000010000"/>
                      <w:trHeight w:val="67"/>
                    </w:trPr>
                    <w:tc>
                      <w:tcPr>
                        <w:cnfStyle w:val="001000000000"/>
                        <w:tcW w:w="2093" w:type="dxa"/>
                        <w:tcBorders>
                          <w:right w:val="single" w:sz="8" w:space="0" w:color="FFFFFF" w:themeColor="background1"/>
                        </w:tcBorders>
                        <w:shd w:val="clear" w:color="auto" w:fill="4BACC6" w:themeFill="accent5"/>
                        <w:vAlign w:val="center"/>
                      </w:tcPr>
                      <w:p w:rsidR="006B6874" w:rsidRPr="00577495" w:rsidRDefault="006B6874" w:rsidP="00962674">
                        <w:pPr>
                          <w:jc w:val="center"/>
                          <w:rPr>
                            <w:b w:val="0"/>
                            <w:bCs w:val="0"/>
                            <w:color w:val="FFFFFF" w:themeColor="background1"/>
                            <w:sz w:val="20"/>
                            <w:szCs w:val="20"/>
                          </w:rPr>
                        </w:pPr>
                        <w:r>
                          <w:rPr>
                            <w:b w:val="0"/>
                            <w:bCs w:val="0"/>
                            <w:color w:val="FFFFFF" w:themeColor="background1"/>
                            <w:sz w:val="20"/>
                            <w:szCs w:val="20"/>
                          </w:rPr>
                          <w:t xml:space="preserve"> No. of CDs</w:t>
                        </w:r>
                      </w:p>
                    </w:tc>
                    <w:tc>
                      <w:tcPr>
                        <w:tcW w:w="1134" w:type="dxa"/>
                        <w:tcBorders>
                          <w:right w:val="single" w:sz="8" w:space="0" w:color="FFFFFF" w:themeColor="background1"/>
                        </w:tcBorders>
                        <w:vAlign w:val="center"/>
                      </w:tcPr>
                      <w:p w:rsidR="006B6874" w:rsidRDefault="006B6874" w:rsidP="00962674">
                        <w:pPr>
                          <w:jc w:val="center"/>
                          <w:cnfStyle w:val="000000010000"/>
                          <w:rPr>
                            <w:sz w:val="20"/>
                            <w:szCs w:val="20"/>
                          </w:rPr>
                        </w:pPr>
                        <w:r>
                          <w:rPr>
                            <w:sz w:val="20"/>
                            <w:szCs w:val="20"/>
                          </w:rPr>
                          <w:t>8</w:t>
                        </w:r>
                      </w:p>
                    </w:tc>
                    <w:tc>
                      <w:tcPr>
                        <w:tcW w:w="1134" w:type="dxa"/>
                        <w:tcBorders>
                          <w:left w:val="single" w:sz="8" w:space="0" w:color="FFFFFF" w:themeColor="background1"/>
                          <w:right w:val="single" w:sz="8" w:space="0" w:color="FFFFFF" w:themeColor="background1"/>
                        </w:tcBorders>
                        <w:vAlign w:val="center"/>
                      </w:tcPr>
                      <w:p w:rsidR="006B6874" w:rsidRDefault="006B6874" w:rsidP="00962674">
                        <w:pPr>
                          <w:jc w:val="center"/>
                          <w:cnfStyle w:val="000000010000"/>
                          <w:rPr>
                            <w:bCs/>
                            <w:sz w:val="20"/>
                            <w:szCs w:val="20"/>
                          </w:rPr>
                        </w:pPr>
                        <w:r>
                          <w:rPr>
                            <w:bCs/>
                            <w:sz w:val="20"/>
                            <w:szCs w:val="20"/>
                          </w:rPr>
                          <w:t>8</w:t>
                        </w:r>
                      </w:p>
                    </w:tc>
                  </w:tr>
                </w:tbl>
                <w:p w:rsidR="006B6874" w:rsidRDefault="006B6874"/>
              </w:txbxContent>
            </v:textbox>
            <w10:wrap type="square"/>
          </v:shape>
        </w:pict>
      </w:r>
      <w:bookmarkStart w:id="27" w:name="_Toc358033196"/>
      <w:r w:rsidR="00590738" w:rsidRPr="008230AD">
        <w:t xml:space="preserve">Ainslie vs. </w:t>
      </w:r>
      <w:proofErr w:type="spellStart"/>
      <w:r w:rsidR="00590738" w:rsidRPr="008230AD">
        <w:t>Braddon</w:t>
      </w:r>
      <w:bookmarkEnd w:id="27"/>
      <w:proofErr w:type="spellEnd"/>
    </w:p>
    <w:p w:rsidR="00590738" w:rsidRDefault="00D67B26" w:rsidP="00590738">
      <w:pPr>
        <w:rPr>
          <w:rStyle w:val="Strong"/>
          <w:b w:val="0"/>
        </w:rPr>
      </w:pPr>
      <w:r>
        <w:rPr>
          <w:bCs/>
          <w:noProof/>
          <w:lang w:val="en-AU" w:eastAsia="en-AU"/>
        </w:rPr>
        <w:pict>
          <v:shape id="_x0000_s1053" type="#_x0000_t202" style="position:absolute;margin-left:268.05pt;margin-top:149.65pt;width:196.2pt;height:12.85pt;z-index:2517186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53" inset="0,0,0,0">
              <w:txbxContent>
                <w:p w:rsidR="006B6874" w:rsidRPr="003610C9" w:rsidRDefault="006B6874" w:rsidP="00EA0389">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txbxContent>
            </v:textbox>
          </v:shape>
        </w:pict>
      </w:r>
      <w:r w:rsidR="00590738">
        <w:rPr>
          <w:rStyle w:val="Strong"/>
          <w:b w:val="0"/>
        </w:rPr>
        <w:t xml:space="preserve"> Ainslie and </w:t>
      </w:r>
      <w:proofErr w:type="spellStart"/>
      <w:r w:rsidR="00590738">
        <w:rPr>
          <w:rStyle w:val="Strong"/>
          <w:b w:val="0"/>
        </w:rPr>
        <w:t>Braddon</w:t>
      </w:r>
      <w:proofErr w:type="spellEnd"/>
      <w:r w:rsidR="00590738">
        <w:rPr>
          <w:rStyle w:val="Strong"/>
          <w:b w:val="0"/>
        </w:rPr>
        <w:t xml:space="preserve"> are two neighbouring suburbs in the </w:t>
      </w:r>
      <w:r w:rsidR="00CF7053">
        <w:rPr>
          <w:rStyle w:val="Strong"/>
          <w:b w:val="0"/>
        </w:rPr>
        <w:t xml:space="preserve">ACT </w:t>
      </w:r>
      <w:r w:rsidR="00590738">
        <w:rPr>
          <w:rStyle w:val="Strong"/>
          <w:b w:val="0"/>
        </w:rPr>
        <w:t xml:space="preserve">subdivision of North Canberra.  Of the Ainslie population aged 15 and over, 62.6% participates in the labour force, 3.7% are unemployed and seeking employment, and 32.9% earn less than $400 per week in income. Of the </w:t>
      </w:r>
      <w:proofErr w:type="spellStart"/>
      <w:r w:rsidR="00590738">
        <w:rPr>
          <w:rStyle w:val="Strong"/>
          <w:b w:val="0"/>
        </w:rPr>
        <w:t>Braddon</w:t>
      </w:r>
      <w:proofErr w:type="spellEnd"/>
      <w:r w:rsidR="00590738">
        <w:rPr>
          <w:rStyle w:val="Strong"/>
          <w:b w:val="0"/>
        </w:rPr>
        <w:t xml:space="preserve"> population aged 15 and over, 58.9% participates in the labour force, 5.6% are unemployed and seeking employment, and 31.8% earn less than $400 per week in income.</w:t>
      </w:r>
      <w:r w:rsidR="00590738" w:rsidRPr="0064073B">
        <w:rPr>
          <w:rStyle w:val="Strong"/>
          <w:b w:val="0"/>
        </w:rPr>
        <w:t xml:space="preserve"> </w:t>
      </w:r>
      <w:r w:rsidR="00590738">
        <w:rPr>
          <w:rStyle w:val="Strong"/>
          <w:b w:val="0"/>
        </w:rPr>
        <w:t xml:space="preserve">The median weekly rent in Ainslie is $220 and total of 805 dwellings are currently being rented, including 383 public housing units being rented through the Territory housing authority, Housing and Community Services ACT. In </w:t>
      </w:r>
      <w:proofErr w:type="spellStart"/>
      <w:r w:rsidR="00590738">
        <w:rPr>
          <w:rStyle w:val="Strong"/>
          <w:b w:val="0"/>
        </w:rPr>
        <w:t>Braddon</w:t>
      </w:r>
      <w:proofErr w:type="spellEnd"/>
      <w:r w:rsidR="00590738">
        <w:rPr>
          <w:rStyle w:val="Strong"/>
          <w:b w:val="0"/>
        </w:rPr>
        <w:t>, the median weekly rent is $290 and total of 950 dwellings are currently being rented, including 300 Territory-owned units</w:t>
      </w:r>
      <w:r w:rsidR="0005011C">
        <w:rPr>
          <w:vertAlign w:val="superscript"/>
        </w:rPr>
        <w:t>9</w:t>
      </w:r>
      <w:r w:rsidR="00590738">
        <w:rPr>
          <w:rStyle w:val="Strong"/>
          <w:b w:val="0"/>
        </w:rPr>
        <w:t xml:space="preserve">. </w:t>
      </w:r>
    </w:p>
    <w:p w:rsidR="00590738" w:rsidRDefault="00590738" w:rsidP="00590738">
      <w:pPr>
        <w:rPr>
          <w:rStyle w:val="Strong"/>
          <w:b w:val="0"/>
        </w:rPr>
      </w:pPr>
      <w:r>
        <w:rPr>
          <w:rStyle w:val="Strong"/>
          <w:b w:val="0"/>
        </w:rPr>
        <w:t xml:space="preserve">Ainslie’s SEIFA IRSD </w:t>
      </w:r>
      <w:proofErr w:type="spellStart"/>
      <w:r>
        <w:rPr>
          <w:rStyle w:val="Strong"/>
          <w:b w:val="0"/>
        </w:rPr>
        <w:t>decile</w:t>
      </w:r>
      <w:proofErr w:type="spellEnd"/>
      <w:r>
        <w:rPr>
          <w:rStyle w:val="Strong"/>
          <w:b w:val="0"/>
        </w:rPr>
        <w:t xml:space="preserve"> score is 7, placing it within Group 3, that is, the area </w:t>
      </w:r>
      <w:r w:rsidR="00CF7053">
        <w:rPr>
          <w:rStyle w:val="Strong"/>
          <w:b w:val="0"/>
        </w:rPr>
        <w:t xml:space="preserve">only </w:t>
      </w:r>
      <w:r>
        <w:rPr>
          <w:rStyle w:val="Strong"/>
          <w:b w:val="0"/>
        </w:rPr>
        <w:t xml:space="preserve">experiences moderate socio-economic disadvantage overall. The suburb can be further broken down into 8 collection districts, of which three have SEIFA scores of 8 or 9, four have SEIFA scores between 5 and 7, and one has a SEIFA score of 3. </w:t>
      </w:r>
    </w:p>
    <w:p w:rsidR="00590738" w:rsidRDefault="00590738" w:rsidP="00590738">
      <w:pPr>
        <w:rPr>
          <w:rStyle w:val="Strong"/>
          <w:b w:val="0"/>
        </w:rPr>
      </w:pPr>
      <w:r>
        <w:rPr>
          <w:rStyle w:val="Strong"/>
          <w:b w:val="0"/>
        </w:rPr>
        <w:t xml:space="preserve">Comparatively, </w:t>
      </w:r>
      <w:proofErr w:type="spellStart"/>
      <w:r>
        <w:rPr>
          <w:rStyle w:val="Strong"/>
          <w:b w:val="0"/>
        </w:rPr>
        <w:t>Braddon</w:t>
      </w:r>
      <w:proofErr w:type="spellEnd"/>
      <w:r>
        <w:rPr>
          <w:rStyle w:val="Strong"/>
          <w:b w:val="0"/>
        </w:rPr>
        <w:t xml:space="preserve"> has a SEIFA IRSD </w:t>
      </w:r>
      <w:proofErr w:type="spellStart"/>
      <w:r>
        <w:rPr>
          <w:rStyle w:val="Strong"/>
          <w:b w:val="0"/>
        </w:rPr>
        <w:t>decile</w:t>
      </w:r>
      <w:proofErr w:type="spellEnd"/>
      <w:r>
        <w:rPr>
          <w:rStyle w:val="Strong"/>
          <w:b w:val="0"/>
        </w:rPr>
        <w:t xml:space="preserve"> score </w:t>
      </w:r>
      <w:r w:rsidR="00CF7053">
        <w:rPr>
          <w:rStyle w:val="Strong"/>
          <w:b w:val="0"/>
        </w:rPr>
        <w:t>of</w:t>
      </w:r>
      <w:r>
        <w:rPr>
          <w:rStyle w:val="Strong"/>
          <w:b w:val="0"/>
        </w:rPr>
        <w:t xml:space="preserve"> 4, placing it within Group 2 and indicating that the suburb experiences a higher level of </w:t>
      </w:r>
      <w:r w:rsidR="00AA3AA8">
        <w:rPr>
          <w:rStyle w:val="Strong"/>
          <w:b w:val="0"/>
        </w:rPr>
        <w:t xml:space="preserve">area-level </w:t>
      </w:r>
      <w:r>
        <w:rPr>
          <w:rStyle w:val="Strong"/>
          <w:b w:val="0"/>
        </w:rPr>
        <w:t>socio-economic disadvantage</w:t>
      </w:r>
      <w:r w:rsidR="006E2109">
        <w:rPr>
          <w:rStyle w:val="Strong"/>
          <w:b w:val="0"/>
        </w:rPr>
        <w:t xml:space="preserve"> than does Ainslie</w:t>
      </w:r>
      <w:r>
        <w:rPr>
          <w:rStyle w:val="Strong"/>
          <w:b w:val="0"/>
        </w:rPr>
        <w:t xml:space="preserve">. </w:t>
      </w:r>
      <w:proofErr w:type="spellStart"/>
      <w:r>
        <w:rPr>
          <w:rStyle w:val="Strong"/>
          <w:b w:val="0"/>
        </w:rPr>
        <w:t>Braddon</w:t>
      </w:r>
      <w:proofErr w:type="spellEnd"/>
      <w:r>
        <w:rPr>
          <w:rStyle w:val="Strong"/>
          <w:b w:val="0"/>
        </w:rPr>
        <w:t xml:space="preserve"> also contains 8 collections districts, two of which have SEIFA scores of 1, </w:t>
      </w:r>
      <w:r w:rsidR="006E2109">
        <w:rPr>
          <w:rStyle w:val="Strong"/>
          <w:b w:val="0"/>
        </w:rPr>
        <w:t>suggesting</w:t>
      </w:r>
      <w:r>
        <w:rPr>
          <w:rStyle w:val="Strong"/>
          <w:b w:val="0"/>
        </w:rPr>
        <w:t xml:space="preserve"> that those CDs experience significantly more</w:t>
      </w:r>
      <w:r w:rsidR="005C3D54">
        <w:rPr>
          <w:rStyle w:val="Strong"/>
          <w:b w:val="0"/>
        </w:rPr>
        <w:t xml:space="preserve"> overall</w:t>
      </w:r>
      <w:r>
        <w:rPr>
          <w:rStyle w:val="Strong"/>
          <w:b w:val="0"/>
        </w:rPr>
        <w:t xml:space="preserve"> disadvantage than the most disadvantaged CD in Ainslie. The remaining collection districts, however, have SEIFA scores of 7 or higher, including two CDs with SEIFA scores of 10, placing them among the least disadvantaged areas across Australia. </w:t>
      </w:r>
    </w:p>
    <w:p w:rsidR="00590738" w:rsidRDefault="00590738" w:rsidP="00590738">
      <w:pPr>
        <w:rPr>
          <w:rStyle w:val="Strong"/>
          <w:b w:val="0"/>
        </w:rPr>
      </w:pPr>
      <w:r>
        <w:rPr>
          <w:rStyle w:val="Strong"/>
          <w:b w:val="0"/>
        </w:rPr>
        <w:t xml:space="preserve">Although SEIFA scores at the suburb level are more commonly used for policy development and decision making, we can see from the </w:t>
      </w:r>
      <w:r w:rsidR="00670763">
        <w:rPr>
          <w:rStyle w:val="Strong"/>
          <w:b w:val="0"/>
        </w:rPr>
        <w:t>breakdown</w:t>
      </w:r>
      <w:r>
        <w:rPr>
          <w:rStyle w:val="Strong"/>
          <w:b w:val="0"/>
        </w:rPr>
        <w:t xml:space="preserve"> above that the diversity in relative socio-economic </w:t>
      </w:r>
      <w:r>
        <w:rPr>
          <w:rStyle w:val="Strong"/>
          <w:b w:val="0"/>
        </w:rPr>
        <w:lastRenderedPageBreak/>
        <w:t xml:space="preserve">disadvantage is more apparent when an aggregated suburb SEIFA score is </w:t>
      </w:r>
      <w:r w:rsidR="00904D75">
        <w:rPr>
          <w:rStyle w:val="Strong"/>
          <w:b w:val="0"/>
        </w:rPr>
        <w:t>deconstructed</w:t>
      </w:r>
      <w:r>
        <w:rPr>
          <w:rStyle w:val="Strong"/>
          <w:b w:val="0"/>
        </w:rPr>
        <w:t xml:space="preserve"> into collection district scores. Even at the collection district level, however, the breadth of diversity in individual experiences of socio-economic disadvantage</w:t>
      </w:r>
      <w:r w:rsidR="00904D75">
        <w:rPr>
          <w:rStyle w:val="Strong"/>
          <w:b w:val="0"/>
        </w:rPr>
        <w:t xml:space="preserve"> in the ACT</w:t>
      </w:r>
      <w:r>
        <w:rPr>
          <w:rStyle w:val="Strong"/>
          <w:b w:val="0"/>
        </w:rPr>
        <w:t xml:space="preserve"> is still not adequately captured by the SEIFA IRSD methodology. </w:t>
      </w:r>
    </w:p>
    <w:p w:rsidR="00590738" w:rsidRDefault="00590738" w:rsidP="00590738">
      <w:pPr>
        <w:rPr>
          <w:rStyle w:val="Strong"/>
          <w:b w:val="0"/>
        </w:rPr>
      </w:pPr>
      <w:r>
        <w:rPr>
          <w:rStyle w:val="Strong"/>
          <w:b w:val="0"/>
        </w:rPr>
        <w:t xml:space="preserve">When comparing the SEIFI </w:t>
      </w:r>
      <w:r w:rsidR="00A36A0A">
        <w:rPr>
          <w:rStyle w:val="Strong"/>
          <w:b w:val="0"/>
        </w:rPr>
        <w:t xml:space="preserve">IRSD </w:t>
      </w:r>
      <w:r>
        <w:rPr>
          <w:rStyle w:val="Strong"/>
          <w:b w:val="0"/>
        </w:rPr>
        <w:t xml:space="preserve">proportions for these two suburbs, the patterns indicate that Ainslie and </w:t>
      </w:r>
      <w:proofErr w:type="spellStart"/>
      <w:r>
        <w:rPr>
          <w:rStyle w:val="Strong"/>
          <w:b w:val="0"/>
        </w:rPr>
        <w:t>Braddon</w:t>
      </w:r>
      <w:proofErr w:type="spellEnd"/>
      <w:r>
        <w:rPr>
          <w:rStyle w:val="Strong"/>
          <w:b w:val="0"/>
        </w:rPr>
        <w:t xml:space="preserve"> have much more similar distributions of disadvantage among their residents than their respective SEIFA </w:t>
      </w:r>
      <w:r w:rsidR="00A36A0A">
        <w:rPr>
          <w:rStyle w:val="Strong"/>
          <w:b w:val="0"/>
        </w:rPr>
        <w:t xml:space="preserve">IRSD </w:t>
      </w:r>
      <w:r>
        <w:rPr>
          <w:rStyle w:val="Strong"/>
          <w:b w:val="0"/>
        </w:rPr>
        <w:t xml:space="preserve">scores would indicate (see </w:t>
      </w:r>
      <w:r w:rsidRPr="001F7B92">
        <w:rPr>
          <w:rStyle w:val="Strong"/>
        </w:rPr>
        <w:t>Table 4</w:t>
      </w:r>
      <w:r>
        <w:rPr>
          <w:rStyle w:val="Strong"/>
          <w:b w:val="0"/>
        </w:rPr>
        <w:t xml:space="preserve">). At the suburb level, the proportion of residents </w:t>
      </w:r>
      <w:r w:rsidR="005C3D54">
        <w:t xml:space="preserve">aged 15-64 </w:t>
      </w:r>
      <w:r>
        <w:rPr>
          <w:rStyle w:val="Strong"/>
          <w:b w:val="0"/>
        </w:rPr>
        <w:t xml:space="preserve">in Group 1 and in Group 4 is the same for both areas at 17% and 51%, respectively, and the proportions of Group 2 and 3 individuals </w:t>
      </w:r>
      <w:r w:rsidR="005C3D54">
        <w:t xml:space="preserve">aged 15-64 </w:t>
      </w:r>
      <w:r>
        <w:rPr>
          <w:rStyle w:val="Strong"/>
          <w:b w:val="0"/>
        </w:rPr>
        <w:t>differ by only a few percentage points. Yet because of the differences in their respective SEIFA</w:t>
      </w:r>
      <w:r w:rsidR="00A36A0A">
        <w:rPr>
          <w:rStyle w:val="Strong"/>
          <w:b w:val="0"/>
        </w:rPr>
        <w:t xml:space="preserve"> IRSD</w:t>
      </w:r>
      <w:r>
        <w:rPr>
          <w:rStyle w:val="Strong"/>
          <w:b w:val="0"/>
        </w:rPr>
        <w:t xml:space="preserve"> scores</w:t>
      </w:r>
      <w:r w:rsidR="00AA3AA8">
        <w:rPr>
          <w:rStyle w:val="Strong"/>
          <w:b w:val="0"/>
        </w:rPr>
        <w:t>, as well as</w:t>
      </w:r>
      <w:r w:rsidRPr="001F143D">
        <w:rPr>
          <w:rStyle w:val="Strong"/>
          <w:b w:val="0"/>
        </w:rPr>
        <w:t xml:space="preserve"> </w:t>
      </w:r>
      <w:r>
        <w:rPr>
          <w:rStyle w:val="Strong"/>
          <w:b w:val="0"/>
        </w:rPr>
        <w:t xml:space="preserve">in their population sizes, the number of disadvantaged individuals who are masked in each of these suburbs differs by over 200 people. </w:t>
      </w:r>
      <w:proofErr w:type="spellStart"/>
      <w:r>
        <w:rPr>
          <w:rStyle w:val="Strong"/>
          <w:b w:val="0"/>
        </w:rPr>
        <w:t>Braddon</w:t>
      </w:r>
      <w:proofErr w:type="spellEnd"/>
      <w:r>
        <w:rPr>
          <w:rStyle w:val="Strong"/>
          <w:b w:val="0"/>
        </w:rPr>
        <w:t xml:space="preserve"> is home to 649 individuals </w:t>
      </w:r>
      <w:r w:rsidR="005C3D54">
        <w:t xml:space="preserve">aged 15-64 </w:t>
      </w:r>
      <w:r>
        <w:rPr>
          <w:rStyle w:val="Strong"/>
          <w:b w:val="0"/>
        </w:rPr>
        <w:t xml:space="preserve">who fall into the most disadvantaged 40% of Australians, </w:t>
      </w:r>
      <w:r w:rsidR="00AA3AA8">
        <w:rPr>
          <w:rStyle w:val="Strong"/>
          <w:b w:val="0"/>
        </w:rPr>
        <w:t xml:space="preserve">including </w:t>
      </w:r>
      <w:r>
        <w:rPr>
          <w:rStyle w:val="Strong"/>
          <w:b w:val="0"/>
        </w:rPr>
        <w:t xml:space="preserve"> 534 Group 1 </w:t>
      </w:r>
      <w:proofErr w:type="spellStart"/>
      <w:r>
        <w:rPr>
          <w:rStyle w:val="Strong"/>
          <w:b w:val="0"/>
        </w:rPr>
        <w:t>Braddon</w:t>
      </w:r>
      <w:proofErr w:type="spellEnd"/>
      <w:r>
        <w:rPr>
          <w:rStyle w:val="Strong"/>
          <w:b w:val="0"/>
        </w:rPr>
        <w:t xml:space="preserve"> residents</w:t>
      </w:r>
      <w:r w:rsidR="0018714D">
        <w:rPr>
          <w:rStyle w:val="Strong"/>
          <w:b w:val="0"/>
        </w:rPr>
        <w:t xml:space="preserve"> who</w:t>
      </w:r>
      <w:r>
        <w:rPr>
          <w:rStyle w:val="Strong"/>
          <w:b w:val="0"/>
        </w:rPr>
        <w:t xml:space="preserve"> are masked by SEIFA </w:t>
      </w:r>
      <w:r w:rsidR="00A36A0A">
        <w:rPr>
          <w:rStyle w:val="Strong"/>
          <w:b w:val="0"/>
        </w:rPr>
        <w:t xml:space="preserve">IRSD </w:t>
      </w:r>
      <w:r>
        <w:rPr>
          <w:rStyle w:val="Strong"/>
          <w:b w:val="0"/>
        </w:rPr>
        <w:t>at the suburb level</w:t>
      </w:r>
      <w:r w:rsidR="0018714D">
        <w:rPr>
          <w:rStyle w:val="Strong"/>
          <w:b w:val="0"/>
        </w:rPr>
        <w:t xml:space="preserve"> when the area-level index is used as a proxy for indi</w:t>
      </w:r>
      <w:r w:rsidR="00A36A0A">
        <w:rPr>
          <w:rStyle w:val="Strong"/>
          <w:b w:val="0"/>
        </w:rPr>
        <w:t>vidual</w:t>
      </w:r>
      <w:r w:rsidR="0018714D">
        <w:rPr>
          <w:rStyle w:val="Strong"/>
          <w:b w:val="0"/>
        </w:rPr>
        <w:t xml:space="preserve"> disadvantage</w:t>
      </w:r>
      <w:r>
        <w:rPr>
          <w:rStyle w:val="Strong"/>
          <w:b w:val="0"/>
        </w:rPr>
        <w:t xml:space="preserve">. Comparatively, 750 individuals </w:t>
      </w:r>
      <w:r w:rsidR="00F166AD">
        <w:t xml:space="preserve">aged 15-64 </w:t>
      </w:r>
      <w:r>
        <w:rPr>
          <w:rStyle w:val="Strong"/>
          <w:b w:val="0"/>
        </w:rPr>
        <w:t xml:space="preserve">living in Ainslie fall into Group 1 or 2, </w:t>
      </w:r>
      <w:r w:rsidR="0018714D">
        <w:rPr>
          <w:rStyle w:val="Strong"/>
          <w:b w:val="0"/>
        </w:rPr>
        <w:t>and</w:t>
      </w:r>
      <w:r>
        <w:rPr>
          <w:rStyle w:val="Strong"/>
          <w:b w:val="0"/>
        </w:rPr>
        <w:t xml:space="preserve"> with a higher SEIFA </w:t>
      </w:r>
      <w:r w:rsidR="00A36A0A">
        <w:rPr>
          <w:rStyle w:val="Strong"/>
          <w:b w:val="0"/>
        </w:rPr>
        <w:t xml:space="preserve">IRSD </w:t>
      </w:r>
      <w:r>
        <w:rPr>
          <w:rStyle w:val="Strong"/>
          <w:b w:val="0"/>
        </w:rPr>
        <w:t xml:space="preserve">score of 7 (Group 3), the relative socio-economic disadvantage of all 750 </w:t>
      </w:r>
      <w:r w:rsidR="0018714D">
        <w:rPr>
          <w:rStyle w:val="Strong"/>
          <w:b w:val="0"/>
        </w:rPr>
        <w:t>individuals</w:t>
      </w:r>
      <w:r>
        <w:rPr>
          <w:rStyle w:val="Strong"/>
          <w:b w:val="0"/>
        </w:rPr>
        <w:t xml:space="preserve"> is hidden at the suburb level. </w:t>
      </w:r>
    </w:p>
    <w:p w:rsidR="00590738" w:rsidRDefault="00590738" w:rsidP="00590738">
      <w:pPr>
        <w:rPr>
          <w:rStyle w:val="Strong"/>
          <w:b w:val="0"/>
        </w:rPr>
      </w:pPr>
      <w:r>
        <w:rPr>
          <w:rStyle w:val="Strong"/>
          <w:b w:val="0"/>
        </w:rPr>
        <w:t xml:space="preserve">In </w:t>
      </w:r>
      <w:proofErr w:type="spellStart"/>
      <w:r>
        <w:rPr>
          <w:rStyle w:val="Strong"/>
          <w:b w:val="0"/>
        </w:rPr>
        <w:t>Braddon</w:t>
      </w:r>
      <w:proofErr w:type="spellEnd"/>
      <w:r>
        <w:rPr>
          <w:rStyle w:val="Strong"/>
          <w:b w:val="0"/>
        </w:rPr>
        <w:t xml:space="preserve">, collection districts 8013602 and 8013604 both have a SEIFA </w:t>
      </w:r>
      <w:r w:rsidR="00A36A0A">
        <w:rPr>
          <w:rStyle w:val="Strong"/>
          <w:b w:val="0"/>
        </w:rPr>
        <w:t xml:space="preserve">IRSD </w:t>
      </w:r>
      <w:r>
        <w:rPr>
          <w:rStyle w:val="Strong"/>
          <w:b w:val="0"/>
        </w:rPr>
        <w:t>score of 1, but both have average or above average proportions of Group 4 residents</w:t>
      </w:r>
      <w:r w:rsidR="00F166AD">
        <w:rPr>
          <w:rStyle w:val="Strong"/>
          <w:b w:val="0"/>
        </w:rPr>
        <w:t xml:space="preserve"> </w:t>
      </w:r>
      <w:r w:rsidR="00F166AD">
        <w:t>aged 15-64</w:t>
      </w:r>
      <w:r w:rsidR="00243D49">
        <w:rPr>
          <w:rStyle w:val="Strong"/>
          <w:b w:val="0"/>
        </w:rPr>
        <w:t xml:space="preserve">. </w:t>
      </w:r>
      <w:proofErr w:type="spellStart"/>
      <w:r>
        <w:rPr>
          <w:rStyle w:val="Strong"/>
          <w:b w:val="0"/>
        </w:rPr>
        <w:t>raddon</w:t>
      </w:r>
      <w:proofErr w:type="spellEnd"/>
      <w:r>
        <w:rPr>
          <w:rStyle w:val="Strong"/>
          <w:b w:val="0"/>
        </w:rPr>
        <w:t xml:space="preserve"> 8013602 has a Group 1 proportion of 13.4%, </w:t>
      </w:r>
      <w:proofErr w:type="spellStart"/>
      <w:r>
        <w:rPr>
          <w:rStyle w:val="Strong"/>
          <w:b w:val="0"/>
        </w:rPr>
        <w:t>Braddon</w:t>
      </w:r>
      <w:proofErr w:type="spellEnd"/>
      <w:r>
        <w:rPr>
          <w:rStyle w:val="Strong"/>
          <w:b w:val="0"/>
        </w:rPr>
        <w:t xml:space="preserve"> 8013604 has a Group 1 proportion of 63.8%, </w:t>
      </w:r>
      <w:r w:rsidR="00817799">
        <w:rPr>
          <w:rStyle w:val="Strong"/>
          <w:b w:val="0"/>
        </w:rPr>
        <w:t>a jump from</w:t>
      </w:r>
      <w:r>
        <w:rPr>
          <w:rStyle w:val="Strong"/>
          <w:b w:val="0"/>
        </w:rPr>
        <w:t xml:space="preserve"> 61 </w:t>
      </w:r>
      <w:r w:rsidR="00817799">
        <w:rPr>
          <w:rStyle w:val="Strong"/>
          <w:b w:val="0"/>
        </w:rPr>
        <w:t xml:space="preserve">to </w:t>
      </w:r>
      <w:r>
        <w:rPr>
          <w:rStyle w:val="Strong"/>
          <w:b w:val="0"/>
        </w:rPr>
        <w:t>203 individuals</w:t>
      </w:r>
      <w:r w:rsidR="00F166AD">
        <w:rPr>
          <w:rStyle w:val="Strong"/>
          <w:b w:val="0"/>
        </w:rPr>
        <w:t xml:space="preserve"> </w:t>
      </w:r>
      <w:r w:rsidR="00F166AD">
        <w:t>aged 15-64</w:t>
      </w:r>
      <w:r>
        <w:rPr>
          <w:rStyle w:val="Strong"/>
          <w:b w:val="0"/>
        </w:rPr>
        <w:t>, respec</w:t>
      </w:r>
      <w:r w:rsidR="0033723E">
        <w:rPr>
          <w:rStyle w:val="Strong"/>
          <w:b w:val="0"/>
        </w:rPr>
        <w:t>tively. Compared to the former</w:t>
      </w:r>
      <w:r>
        <w:rPr>
          <w:rStyle w:val="Strong"/>
          <w:b w:val="0"/>
        </w:rPr>
        <w:t xml:space="preserve">, </w:t>
      </w:r>
      <w:proofErr w:type="spellStart"/>
      <w:r>
        <w:rPr>
          <w:rStyle w:val="Strong"/>
          <w:b w:val="0"/>
        </w:rPr>
        <w:t>Braddon</w:t>
      </w:r>
      <w:proofErr w:type="spellEnd"/>
      <w:r>
        <w:rPr>
          <w:rStyle w:val="Strong"/>
          <w:b w:val="0"/>
        </w:rPr>
        <w:t xml:space="preserve"> 8</w:t>
      </w:r>
      <w:r w:rsidR="0033723E">
        <w:rPr>
          <w:rStyle w:val="Strong"/>
          <w:b w:val="0"/>
        </w:rPr>
        <w:t>013607 has a higher SEIFA</w:t>
      </w:r>
      <w:r w:rsidR="00A36A0A">
        <w:rPr>
          <w:rStyle w:val="Strong"/>
          <w:b w:val="0"/>
        </w:rPr>
        <w:t xml:space="preserve"> IRSD</w:t>
      </w:r>
      <w:r w:rsidR="0033723E">
        <w:rPr>
          <w:rStyle w:val="Strong"/>
          <w:b w:val="0"/>
        </w:rPr>
        <w:t xml:space="preserve"> score of 7</w:t>
      </w:r>
      <w:r>
        <w:rPr>
          <w:rStyle w:val="Strong"/>
          <w:b w:val="0"/>
        </w:rPr>
        <w:t xml:space="preserve"> but also a greater Group 1 proportion at 16.5%, or just over 74 individuals. Where </w:t>
      </w:r>
      <w:proofErr w:type="spellStart"/>
      <w:r>
        <w:rPr>
          <w:rStyle w:val="Strong"/>
          <w:b w:val="0"/>
        </w:rPr>
        <w:t>Braddon</w:t>
      </w:r>
      <w:proofErr w:type="spellEnd"/>
      <w:r>
        <w:rPr>
          <w:rStyle w:val="Strong"/>
          <w:b w:val="0"/>
        </w:rPr>
        <w:t xml:space="preserve"> 8013602 stands out, however, is in its large proportion of Group 3 residents; at 50.1%, </w:t>
      </w:r>
      <w:proofErr w:type="spellStart"/>
      <w:r>
        <w:rPr>
          <w:rStyle w:val="Strong"/>
          <w:b w:val="0"/>
        </w:rPr>
        <w:t>Braddon</w:t>
      </w:r>
      <w:proofErr w:type="spellEnd"/>
      <w:r>
        <w:rPr>
          <w:rStyle w:val="Strong"/>
          <w:b w:val="0"/>
        </w:rPr>
        <w:t xml:space="preserve"> 8013602 has the second largest proportion of Group 3 individuals </w:t>
      </w:r>
      <w:r w:rsidR="00F166AD">
        <w:t xml:space="preserve">aged 15-64 </w:t>
      </w:r>
      <w:r>
        <w:rPr>
          <w:rStyle w:val="Strong"/>
          <w:b w:val="0"/>
        </w:rPr>
        <w:t xml:space="preserve">out of all ACT collection districts </w:t>
      </w:r>
      <w:r w:rsidR="0033723E">
        <w:rPr>
          <w:rStyle w:val="Strong"/>
          <w:b w:val="0"/>
        </w:rPr>
        <w:t>.</w:t>
      </w:r>
      <w:r>
        <w:rPr>
          <w:rStyle w:val="Strong"/>
          <w:b w:val="0"/>
        </w:rPr>
        <w:t xml:space="preserve"> None of these features are effectively portrayed by the CD-level SEIFA scores.  </w:t>
      </w:r>
    </w:p>
    <w:p w:rsidR="00590738" w:rsidRDefault="00484F76" w:rsidP="00590738">
      <w:pPr>
        <w:rPr>
          <w:rStyle w:val="Strong"/>
          <w:b w:val="0"/>
        </w:rPr>
      </w:pPr>
      <w:r>
        <w:rPr>
          <w:rStyle w:val="Strong"/>
          <w:b w:val="0"/>
        </w:rPr>
        <w:t>While</w:t>
      </w:r>
      <w:r w:rsidR="00590738">
        <w:rPr>
          <w:rStyle w:val="Strong"/>
          <w:b w:val="0"/>
        </w:rPr>
        <w:t xml:space="preserve"> none of the collection districts in Ainslie have SEIFA </w:t>
      </w:r>
      <w:r w:rsidR="00A36A0A">
        <w:rPr>
          <w:rStyle w:val="Strong"/>
          <w:b w:val="0"/>
        </w:rPr>
        <w:t xml:space="preserve">IRSD </w:t>
      </w:r>
      <w:r w:rsidR="00590738">
        <w:rPr>
          <w:rStyle w:val="Strong"/>
          <w:b w:val="0"/>
        </w:rPr>
        <w:t xml:space="preserve">scores lower than 3, all but one have Group 1 proportions of more than 10 percent. Ainslie 8013504 has a SEIFA </w:t>
      </w:r>
      <w:r w:rsidR="00A0321D">
        <w:rPr>
          <w:rStyle w:val="Strong"/>
          <w:b w:val="0"/>
        </w:rPr>
        <w:t xml:space="preserve">IRSD </w:t>
      </w:r>
      <w:r w:rsidR="00590738">
        <w:rPr>
          <w:rStyle w:val="Strong"/>
          <w:b w:val="0"/>
        </w:rPr>
        <w:t>score of 3, but has above average proportions of both Group 1 and Group 4 residents</w:t>
      </w:r>
      <w:r w:rsidR="00A0321D">
        <w:rPr>
          <w:rStyle w:val="Strong"/>
          <w:b w:val="0"/>
        </w:rPr>
        <w:t xml:space="preserve"> aged 15-64</w:t>
      </w:r>
      <w:r w:rsidR="00590738">
        <w:rPr>
          <w:rStyle w:val="Strong"/>
          <w:b w:val="0"/>
        </w:rPr>
        <w:t xml:space="preserve">, which is not reflected by SEIFA. Compared to </w:t>
      </w:r>
      <w:proofErr w:type="spellStart"/>
      <w:r w:rsidR="00590738">
        <w:rPr>
          <w:rStyle w:val="Strong"/>
          <w:b w:val="0"/>
        </w:rPr>
        <w:t>Braddon</w:t>
      </w:r>
      <w:proofErr w:type="spellEnd"/>
      <w:r w:rsidR="00590738">
        <w:rPr>
          <w:rStyle w:val="Strong"/>
          <w:b w:val="0"/>
        </w:rPr>
        <w:t xml:space="preserve"> 801</w:t>
      </w:r>
      <w:r w:rsidR="006B6874">
        <w:rPr>
          <w:rStyle w:val="Strong"/>
          <w:b w:val="0"/>
        </w:rPr>
        <w:t>36</w:t>
      </w:r>
      <w:r w:rsidR="00590738">
        <w:rPr>
          <w:rStyle w:val="Strong"/>
          <w:b w:val="0"/>
        </w:rPr>
        <w:t xml:space="preserve">02, which has 13.4% or 61 residents </w:t>
      </w:r>
      <w:r w:rsidR="00511DEF">
        <w:t xml:space="preserve">aged 15-64 </w:t>
      </w:r>
      <w:r w:rsidR="00590738">
        <w:rPr>
          <w:rStyle w:val="Strong"/>
          <w:b w:val="0"/>
        </w:rPr>
        <w:t>in Group 1, 29.2% of individuals in Ainslie 8013504 fall into Group 1, which translates to 127 people</w:t>
      </w:r>
      <w:r w:rsidR="00511DEF">
        <w:rPr>
          <w:rStyle w:val="Strong"/>
          <w:b w:val="0"/>
        </w:rPr>
        <w:t xml:space="preserve"> </w:t>
      </w:r>
      <w:r w:rsidR="00511DEF">
        <w:t>aged 15-64</w:t>
      </w:r>
      <w:r w:rsidR="00A0321D">
        <w:t>. U</w:t>
      </w:r>
      <w:r w:rsidR="00590738">
        <w:rPr>
          <w:rStyle w:val="Strong"/>
          <w:b w:val="0"/>
        </w:rPr>
        <w:t xml:space="preserve">nlike the Group 1 population in </w:t>
      </w:r>
      <w:proofErr w:type="spellStart"/>
      <w:r w:rsidR="00590738">
        <w:rPr>
          <w:rStyle w:val="Strong"/>
          <w:b w:val="0"/>
        </w:rPr>
        <w:t>Braddon</w:t>
      </w:r>
      <w:proofErr w:type="spellEnd"/>
      <w:r w:rsidR="00590738">
        <w:rPr>
          <w:rStyle w:val="Strong"/>
          <w:b w:val="0"/>
        </w:rPr>
        <w:t xml:space="preserve"> 801</w:t>
      </w:r>
      <w:r w:rsidR="006B6874">
        <w:rPr>
          <w:rStyle w:val="Strong"/>
          <w:b w:val="0"/>
        </w:rPr>
        <w:t>36</w:t>
      </w:r>
      <w:r w:rsidR="00590738">
        <w:rPr>
          <w:rStyle w:val="Strong"/>
          <w:b w:val="0"/>
        </w:rPr>
        <w:t xml:space="preserve">02, the 127 Group 1 individuals in Ainslie 8013504 are hidden by the CDs SEIFA score of 3. </w:t>
      </w:r>
    </w:p>
    <w:p w:rsidR="00590738" w:rsidRDefault="00DE7C84" w:rsidP="00590738">
      <w:pPr>
        <w:rPr>
          <w:rStyle w:val="Strong"/>
          <w:b w:val="0"/>
        </w:rPr>
      </w:pPr>
      <w:r>
        <w:rPr>
          <w:rStyle w:val="Strong"/>
          <w:b w:val="0"/>
        </w:rPr>
        <w:t xml:space="preserve">So while the SEIFA scores of Ainslie and </w:t>
      </w:r>
      <w:proofErr w:type="spellStart"/>
      <w:r>
        <w:rPr>
          <w:rStyle w:val="Strong"/>
          <w:b w:val="0"/>
        </w:rPr>
        <w:t>Braddon</w:t>
      </w:r>
      <w:proofErr w:type="spellEnd"/>
      <w:r>
        <w:rPr>
          <w:rStyle w:val="Strong"/>
          <w:b w:val="0"/>
        </w:rPr>
        <w:t xml:space="preserve"> may </w:t>
      </w:r>
      <w:r w:rsidR="00C54DF4">
        <w:rPr>
          <w:rStyle w:val="Strong"/>
          <w:b w:val="0"/>
        </w:rPr>
        <w:t xml:space="preserve">be representative of </w:t>
      </w:r>
      <w:r w:rsidR="00F77708">
        <w:rPr>
          <w:rStyle w:val="Strong"/>
          <w:b w:val="0"/>
        </w:rPr>
        <w:t xml:space="preserve">significant </w:t>
      </w:r>
      <w:r w:rsidR="00C54DF4">
        <w:rPr>
          <w:rStyle w:val="Strong"/>
          <w:b w:val="0"/>
        </w:rPr>
        <w:t>differe</w:t>
      </w:r>
      <w:r w:rsidR="00842B61">
        <w:rPr>
          <w:rStyle w:val="Strong"/>
          <w:b w:val="0"/>
        </w:rPr>
        <w:t>nces in area-level disadvantage</w:t>
      </w:r>
      <w:r w:rsidR="00EA1ADF">
        <w:rPr>
          <w:rStyle w:val="Strong"/>
          <w:b w:val="0"/>
        </w:rPr>
        <w:t>,</w:t>
      </w:r>
      <w:r w:rsidR="00842B61">
        <w:rPr>
          <w:rStyle w:val="Strong"/>
          <w:b w:val="0"/>
        </w:rPr>
        <w:t xml:space="preserve"> </w:t>
      </w:r>
      <w:r w:rsidR="00C54DF4">
        <w:rPr>
          <w:rStyle w:val="Strong"/>
          <w:b w:val="0"/>
        </w:rPr>
        <w:t xml:space="preserve">the </w:t>
      </w:r>
      <w:r w:rsidR="00F77708">
        <w:rPr>
          <w:rStyle w:val="Strong"/>
          <w:b w:val="0"/>
        </w:rPr>
        <w:t>distribution</w:t>
      </w:r>
      <w:r w:rsidR="00C54DF4">
        <w:rPr>
          <w:rStyle w:val="Strong"/>
          <w:b w:val="0"/>
        </w:rPr>
        <w:t xml:space="preserve"> of individual</w:t>
      </w:r>
      <w:r w:rsidR="00F77708">
        <w:rPr>
          <w:rStyle w:val="Strong"/>
          <w:b w:val="0"/>
        </w:rPr>
        <w:t>-level</w:t>
      </w:r>
      <w:r w:rsidR="00C54DF4">
        <w:rPr>
          <w:rStyle w:val="Strong"/>
          <w:b w:val="0"/>
        </w:rPr>
        <w:t xml:space="preserve"> disadvantage </w:t>
      </w:r>
      <w:r w:rsidR="00842B61">
        <w:rPr>
          <w:rStyle w:val="Strong"/>
          <w:b w:val="0"/>
        </w:rPr>
        <w:t>between these two suburbs is much more similar than is suggested by their SEIFA scores</w:t>
      </w:r>
      <w:r w:rsidR="00EA1ADF">
        <w:rPr>
          <w:rStyle w:val="Strong"/>
          <w:b w:val="0"/>
        </w:rPr>
        <w:t xml:space="preserve"> </w:t>
      </w:r>
      <w:r w:rsidR="00842B61">
        <w:rPr>
          <w:rStyle w:val="Strong"/>
          <w:b w:val="0"/>
        </w:rPr>
        <w:t>at both the CD and suburb levels</w:t>
      </w:r>
      <w:r w:rsidR="00EA1ADF">
        <w:rPr>
          <w:rStyle w:val="Strong"/>
          <w:b w:val="0"/>
        </w:rPr>
        <w:t xml:space="preserve">. </w:t>
      </w:r>
    </w:p>
    <w:p w:rsidR="00590738" w:rsidRPr="00132F69" w:rsidRDefault="00D67B26" w:rsidP="00CB4820">
      <w:pPr>
        <w:pStyle w:val="Heading4"/>
      </w:pPr>
      <w:r w:rsidRPr="00D67B26">
        <w:rPr>
          <w:noProof/>
          <w:lang w:eastAsia="en-CA"/>
        </w:rPr>
        <w:lastRenderedPageBreak/>
        <w:pict>
          <v:shape id="Text Box 35" o:spid="_x0000_s1047" type="#_x0000_t202" style="position:absolute;margin-left:-10.85pt;margin-top:29.05pt;width:235.85pt;height:199.3pt;z-index:-251603968;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Psug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" filled="f" stroked="f">
            <v:textbox style="mso-next-textbox:#Text Box 35">
              <w:txbxContent>
                <w:p w:rsidR="006B6874" w:rsidRPr="00231618" w:rsidRDefault="006B6874" w:rsidP="0085538D">
                  <w:pPr>
                    <w:pStyle w:val="ListParagraph"/>
                    <w:numPr>
                      <w:ilvl w:val="0"/>
                      <w:numId w:val="7"/>
                    </w:numPr>
                    <w:ind w:left="851" w:hanging="851"/>
                    <w:rPr>
                      <w:b/>
                      <w:color w:val="244061" w:themeColor="accent1" w:themeShade="80"/>
                    </w:rPr>
                  </w:pPr>
                  <w:r w:rsidRPr="00231618">
                    <w:rPr>
                      <w:b/>
                      <w:color w:val="244061" w:themeColor="accent1" w:themeShade="80"/>
                    </w:rPr>
                    <w:t>Suburb-level SEIFA</w:t>
                  </w:r>
                  <w:r>
                    <w:rPr>
                      <w:b/>
                      <w:color w:val="244061" w:themeColor="accent1" w:themeShade="80"/>
                    </w:rPr>
                    <w:t xml:space="preserve"> IRSD</w:t>
                  </w:r>
                  <w:r w:rsidRPr="00231618">
                    <w:rPr>
                      <w:b/>
                      <w:color w:val="244061" w:themeColor="accent1" w:themeShade="80"/>
                    </w:rPr>
                    <w:t xml:space="preserve"> and SEIFI </w:t>
                  </w:r>
                  <w:r>
                    <w:rPr>
                      <w:b/>
                      <w:color w:val="244061" w:themeColor="accent1" w:themeShade="80"/>
                    </w:rPr>
                    <w:t xml:space="preserve">IRSD </w:t>
                  </w:r>
                  <w:r w:rsidRPr="00231618">
                    <w:rPr>
                      <w:b/>
                      <w:color w:val="244061" w:themeColor="accent1" w:themeShade="80"/>
                    </w:rPr>
                    <w:t xml:space="preserve">data, </w:t>
                  </w:r>
                  <w:proofErr w:type="spellStart"/>
                  <w:r w:rsidRPr="00231618">
                    <w:rPr>
                      <w:b/>
                      <w:color w:val="244061" w:themeColor="accent1" w:themeShade="80"/>
                    </w:rPr>
                    <w:t>Rivett</w:t>
                  </w:r>
                  <w:proofErr w:type="spellEnd"/>
                  <w:r w:rsidRPr="00231618">
                    <w:rPr>
                      <w:b/>
                      <w:color w:val="244061" w:themeColor="accent1" w:themeShade="80"/>
                    </w:rPr>
                    <w:t xml:space="preserve"> and Chapman</w:t>
                  </w:r>
                </w:p>
                <w:p w:rsidR="006B6874" w:rsidRPr="00395CC7" w:rsidRDefault="006B6874" w:rsidP="00590738"/>
              </w:txbxContent>
            </v:textbox>
            <w10:wrap type="square"/>
          </v:shape>
        </w:pict>
      </w:r>
      <w:bookmarkStart w:id="28" w:name="_Toc358033197"/>
      <w:proofErr w:type="spellStart"/>
      <w:r w:rsidR="00590738" w:rsidRPr="00132F69">
        <w:t>Rivett</w:t>
      </w:r>
      <w:proofErr w:type="spellEnd"/>
      <w:r w:rsidR="00590738" w:rsidRPr="00132F69">
        <w:t xml:space="preserve"> vs. Chapman</w:t>
      </w:r>
      <w:bookmarkEnd w:id="28"/>
    </w:p>
    <w:tbl>
      <w:tblPr>
        <w:tblStyle w:val="MediumShading1-Accent5"/>
        <w:tblpPr w:leftFromText="180" w:rightFromText="180" w:vertAnchor="text" w:horzAnchor="margin" w:tblpY="84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2093"/>
        <w:gridCol w:w="1134"/>
        <w:gridCol w:w="1134"/>
      </w:tblGrid>
      <w:tr w:rsidR="00590738" w:rsidTr="00CB5EE5">
        <w:trPr>
          <w:cnfStyle w:val="100000000000"/>
        </w:trPr>
        <w:tc>
          <w:tcPr>
            <w:cnfStyle w:val="001000000000"/>
            <w:tcW w:w="2093" w:type="dxa"/>
            <w:tcBorders>
              <w:top w:val="nil"/>
              <w:left w:val="nil"/>
              <w:right w:val="single" w:sz="8" w:space="0" w:color="FFFFFF" w:themeColor="background1"/>
            </w:tcBorders>
            <w:shd w:val="clear" w:color="auto" w:fill="auto"/>
          </w:tcPr>
          <w:p w:rsidR="00590738" w:rsidRPr="00577495" w:rsidRDefault="00590738" w:rsidP="00CB5EE5">
            <w:pPr>
              <w:jc w:val="center"/>
              <w:rPr>
                <w:sz w:val="20"/>
                <w:szCs w:val="20"/>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590738" w:rsidRPr="00577495" w:rsidRDefault="00590738" w:rsidP="00CB5EE5">
            <w:pPr>
              <w:spacing w:before="40" w:after="40"/>
              <w:jc w:val="center"/>
              <w:cnfStyle w:val="100000000000"/>
              <w:rPr>
                <w:b w:val="0"/>
                <w:bCs w:val="0"/>
                <w:sz w:val="20"/>
                <w:szCs w:val="20"/>
              </w:rPr>
            </w:pPr>
            <w:proofErr w:type="spellStart"/>
            <w:r>
              <w:rPr>
                <w:b w:val="0"/>
                <w:bCs w:val="0"/>
                <w:sz w:val="20"/>
                <w:szCs w:val="20"/>
              </w:rPr>
              <w:t>Rivett</w:t>
            </w:r>
            <w:proofErr w:type="spellEnd"/>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590738" w:rsidRPr="00577495" w:rsidRDefault="00590738" w:rsidP="00CB5EE5">
            <w:pPr>
              <w:spacing w:before="40" w:after="40"/>
              <w:jc w:val="center"/>
              <w:cnfStyle w:val="100000000000"/>
              <w:rPr>
                <w:b w:val="0"/>
                <w:bCs w:val="0"/>
                <w:sz w:val="20"/>
                <w:szCs w:val="20"/>
              </w:rPr>
            </w:pPr>
            <w:r>
              <w:rPr>
                <w:b w:val="0"/>
                <w:bCs w:val="0"/>
                <w:sz w:val="20"/>
                <w:szCs w:val="20"/>
              </w:rPr>
              <w:t>Chapman</w:t>
            </w:r>
          </w:p>
        </w:tc>
      </w:tr>
      <w:tr w:rsidR="00590738" w:rsidTr="00CB5EE5">
        <w:trPr>
          <w:cnfStyle w:val="000000100000"/>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 xml:space="preserve">SEIFA </w:t>
            </w:r>
            <w:proofErr w:type="spellStart"/>
            <w:r w:rsidRPr="00577495">
              <w:rPr>
                <w:b w:val="0"/>
                <w:bCs w:val="0"/>
                <w:color w:val="FFFFFF" w:themeColor="background1"/>
                <w:sz w:val="20"/>
                <w:szCs w:val="20"/>
              </w:rPr>
              <w:t>decile</w:t>
            </w:r>
            <w:proofErr w:type="spellEnd"/>
            <w:r w:rsidRPr="00577495">
              <w:rPr>
                <w:b w:val="0"/>
                <w:bCs w:val="0"/>
                <w:color w:val="FFFFFF" w:themeColor="background1"/>
                <w:sz w:val="20"/>
                <w:szCs w:val="20"/>
              </w:rPr>
              <w:t xml:space="preserve"> score</w:t>
            </w:r>
          </w:p>
        </w:tc>
        <w:tc>
          <w:tcPr>
            <w:tcW w:w="1134" w:type="dxa"/>
            <w:tcBorders>
              <w:left w:val="single" w:sz="8" w:space="0" w:color="FFFFFF" w:themeColor="background1"/>
              <w:right w:val="single" w:sz="8" w:space="0" w:color="FFFFFF" w:themeColor="background1"/>
            </w:tcBorders>
            <w:vAlign w:val="center"/>
          </w:tcPr>
          <w:p w:rsidR="00590738" w:rsidRPr="00577495" w:rsidRDefault="00590738" w:rsidP="00CB5EE5">
            <w:pPr>
              <w:jc w:val="center"/>
              <w:cnfStyle w:val="000000100000"/>
              <w:rPr>
                <w:sz w:val="20"/>
                <w:szCs w:val="20"/>
              </w:rPr>
            </w:pPr>
            <w:r>
              <w:rPr>
                <w:sz w:val="20"/>
                <w:szCs w:val="20"/>
              </w:rPr>
              <w:t>8</w:t>
            </w:r>
          </w:p>
        </w:tc>
        <w:tc>
          <w:tcPr>
            <w:tcW w:w="1134" w:type="dxa"/>
            <w:tcBorders>
              <w:left w:val="single" w:sz="8" w:space="0" w:color="FFFFFF" w:themeColor="background1"/>
            </w:tcBorders>
            <w:vAlign w:val="center"/>
          </w:tcPr>
          <w:p w:rsidR="00590738" w:rsidRPr="00577495" w:rsidRDefault="00590738" w:rsidP="00CB5EE5">
            <w:pPr>
              <w:jc w:val="center"/>
              <w:cnfStyle w:val="000000100000"/>
              <w:rPr>
                <w:bCs/>
                <w:sz w:val="20"/>
                <w:szCs w:val="20"/>
              </w:rPr>
            </w:pPr>
            <w:r>
              <w:rPr>
                <w:bCs/>
                <w:sz w:val="20"/>
                <w:szCs w:val="20"/>
              </w:rPr>
              <w:t>10</w:t>
            </w:r>
          </w:p>
        </w:tc>
      </w:tr>
      <w:tr w:rsidR="00590738" w:rsidTr="00CB5EE5">
        <w:trPr>
          <w:cnfStyle w:val="000000010000"/>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Usual Resident Pop.</w:t>
            </w:r>
          </w:p>
        </w:tc>
        <w:tc>
          <w:tcPr>
            <w:tcW w:w="1134" w:type="dxa"/>
            <w:tcBorders>
              <w:left w:val="single" w:sz="8" w:space="0" w:color="FFFFFF" w:themeColor="background1"/>
              <w:right w:val="single" w:sz="8" w:space="0" w:color="FFFFFF" w:themeColor="background1"/>
            </w:tcBorders>
            <w:vAlign w:val="center"/>
          </w:tcPr>
          <w:p w:rsidR="00590738" w:rsidRPr="00577495" w:rsidRDefault="00590738" w:rsidP="00CB5EE5">
            <w:pPr>
              <w:jc w:val="center"/>
              <w:cnfStyle w:val="000000010000"/>
              <w:rPr>
                <w:sz w:val="20"/>
                <w:szCs w:val="20"/>
              </w:rPr>
            </w:pPr>
            <w:r>
              <w:rPr>
                <w:sz w:val="20"/>
                <w:szCs w:val="20"/>
              </w:rPr>
              <w:t>3,070</w:t>
            </w:r>
          </w:p>
        </w:tc>
        <w:tc>
          <w:tcPr>
            <w:tcW w:w="1134" w:type="dxa"/>
            <w:tcBorders>
              <w:left w:val="single" w:sz="8" w:space="0" w:color="FFFFFF" w:themeColor="background1"/>
            </w:tcBorders>
            <w:vAlign w:val="center"/>
          </w:tcPr>
          <w:p w:rsidR="00590738" w:rsidRPr="00577495" w:rsidRDefault="00590738" w:rsidP="00CB5EE5">
            <w:pPr>
              <w:jc w:val="center"/>
              <w:cnfStyle w:val="000000010000"/>
              <w:rPr>
                <w:bCs/>
                <w:sz w:val="20"/>
                <w:szCs w:val="20"/>
              </w:rPr>
            </w:pPr>
            <w:r>
              <w:rPr>
                <w:bCs/>
                <w:sz w:val="20"/>
                <w:szCs w:val="20"/>
              </w:rPr>
              <w:t>2,693</w:t>
            </w:r>
          </w:p>
        </w:tc>
      </w:tr>
      <w:tr w:rsidR="00590738" w:rsidTr="00CB5EE5">
        <w:trPr>
          <w:cnfStyle w:val="000000100000"/>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15 to 64 Aged Pop.</w:t>
            </w:r>
          </w:p>
        </w:tc>
        <w:tc>
          <w:tcPr>
            <w:tcW w:w="1134" w:type="dxa"/>
            <w:tcBorders>
              <w:left w:val="single" w:sz="8" w:space="0" w:color="FFFFFF" w:themeColor="background1"/>
              <w:right w:val="single" w:sz="8" w:space="0" w:color="FFFFFF" w:themeColor="background1"/>
            </w:tcBorders>
            <w:vAlign w:val="center"/>
          </w:tcPr>
          <w:p w:rsidR="00590738" w:rsidRPr="00577495" w:rsidRDefault="00590738" w:rsidP="00CB5EE5">
            <w:pPr>
              <w:jc w:val="center"/>
              <w:cnfStyle w:val="000000100000"/>
              <w:rPr>
                <w:sz w:val="20"/>
                <w:szCs w:val="20"/>
              </w:rPr>
            </w:pPr>
            <w:r>
              <w:rPr>
                <w:sz w:val="20"/>
                <w:szCs w:val="20"/>
              </w:rPr>
              <w:t>2,228</w:t>
            </w:r>
          </w:p>
        </w:tc>
        <w:tc>
          <w:tcPr>
            <w:tcW w:w="1134" w:type="dxa"/>
            <w:tcBorders>
              <w:left w:val="single" w:sz="8" w:space="0" w:color="FFFFFF" w:themeColor="background1"/>
            </w:tcBorders>
            <w:vAlign w:val="center"/>
          </w:tcPr>
          <w:p w:rsidR="00590738" w:rsidRPr="00577495" w:rsidRDefault="00590738" w:rsidP="00CB5EE5">
            <w:pPr>
              <w:jc w:val="center"/>
              <w:cnfStyle w:val="000000100000"/>
              <w:rPr>
                <w:bCs/>
                <w:sz w:val="20"/>
                <w:szCs w:val="20"/>
              </w:rPr>
            </w:pPr>
            <w:r>
              <w:rPr>
                <w:bCs/>
                <w:sz w:val="20"/>
                <w:szCs w:val="20"/>
              </w:rPr>
              <w:t>1,802</w:t>
            </w:r>
          </w:p>
        </w:tc>
      </w:tr>
      <w:tr w:rsidR="00590738" w:rsidTr="00CB5EE5">
        <w:trPr>
          <w:cnfStyle w:val="000000010000"/>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SEIFI Group 1 (%)</w:t>
            </w:r>
          </w:p>
        </w:tc>
        <w:tc>
          <w:tcPr>
            <w:tcW w:w="1134" w:type="dxa"/>
            <w:tcBorders>
              <w:left w:val="single" w:sz="8" w:space="0" w:color="FFFFFF" w:themeColor="background1"/>
              <w:right w:val="single" w:sz="8" w:space="0" w:color="FFFFFF" w:themeColor="background1"/>
            </w:tcBorders>
            <w:vAlign w:val="center"/>
          </w:tcPr>
          <w:p w:rsidR="00590738" w:rsidRPr="00577495" w:rsidRDefault="00590738" w:rsidP="00CB5EE5">
            <w:pPr>
              <w:jc w:val="center"/>
              <w:cnfStyle w:val="000000010000"/>
              <w:rPr>
                <w:sz w:val="20"/>
                <w:szCs w:val="20"/>
              </w:rPr>
            </w:pPr>
            <w:r>
              <w:rPr>
                <w:sz w:val="20"/>
                <w:szCs w:val="20"/>
              </w:rPr>
              <w:t>16</w:t>
            </w:r>
            <w:r w:rsidR="000D02B8">
              <w:rPr>
                <w:sz w:val="20"/>
                <w:szCs w:val="20"/>
              </w:rPr>
              <w:t>.5</w:t>
            </w:r>
            <w:r>
              <w:rPr>
                <w:sz w:val="20"/>
                <w:szCs w:val="20"/>
              </w:rPr>
              <w:t>%</w:t>
            </w:r>
          </w:p>
        </w:tc>
        <w:tc>
          <w:tcPr>
            <w:tcW w:w="1134" w:type="dxa"/>
            <w:tcBorders>
              <w:left w:val="single" w:sz="8" w:space="0" w:color="FFFFFF" w:themeColor="background1"/>
            </w:tcBorders>
            <w:vAlign w:val="center"/>
          </w:tcPr>
          <w:p w:rsidR="00590738" w:rsidRPr="00577495" w:rsidRDefault="00590738" w:rsidP="00CB5EE5">
            <w:pPr>
              <w:jc w:val="center"/>
              <w:cnfStyle w:val="000000010000"/>
              <w:rPr>
                <w:bCs/>
                <w:sz w:val="20"/>
                <w:szCs w:val="20"/>
              </w:rPr>
            </w:pPr>
            <w:r>
              <w:rPr>
                <w:bCs/>
                <w:sz w:val="20"/>
                <w:szCs w:val="20"/>
              </w:rPr>
              <w:t>3</w:t>
            </w:r>
            <w:r w:rsidR="000D02B8">
              <w:rPr>
                <w:bCs/>
                <w:sz w:val="20"/>
                <w:szCs w:val="20"/>
              </w:rPr>
              <w:t>.1</w:t>
            </w:r>
            <w:r>
              <w:rPr>
                <w:bCs/>
                <w:sz w:val="20"/>
                <w:szCs w:val="20"/>
              </w:rPr>
              <w:t>%</w:t>
            </w:r>
          </w:p>
        </w:tc>
      </w:tr>
      <w:tr w:rsidR="00590738" w:rsidTr="00CB5EE5">
        <w:trPr>
          <w:cnfStyle w:val="000000100000"/>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SEIFI Group 2 (%)</w:t>
            </w:r>
          </w:p>
        </w:tc>
        <w:tc>
          <w:tcPr>
            <w:tcW w:w="1134" w:type="dxa"/>
            <w:tcBorders>
              <w:left w:val="single" w:sz="8" w:space="0" w:color="FFFFFF" w:themeColor="background1"/>
              <w:right w:val="single" w:sz="8" w:space="0" w:color="FFFFFF" w:themeColor="background1"/>
            </w:tcBorders>
            <w:vAlign w:val="center"/>
          </w:tcPr>
          <w:p w:rsidR="00590738" w:rsidRPr="00577495" w:rsidRDefault="00590738" w:rsidP="00CB5EE5">
            <w:pPr>
              <w:jc w:val="center"/>
              <w:cnfStyle w:val="000000100000"/>
              <w:rPr>
                <w:sz w:val="20"/>
                <w:szCs w:val="20"/>
              </w:rPr>
            </w:pPr>
            <w:r>
              <w:rPr>
                <w:sz w:val="20"/>
                <w:szCs w:val="20"/>
              </w:rPr>
              <w:t>13</w:t>
            </w:r>
            <w:r w:rsidR="000D02B8">
              <w:rPr>
                <w:sz w:val="20"/>
                <w:szCs w:val="20"/>
              </w:rPr>
              <w:t>.1</w:t>
            </w:r>
            <w:r>
              <w:rPr>
                <w:sz w:val="20"/>
                <w:szCs w:val="20"/>
              </w:rPr>
              <w:t>%</w:t>
            </w:r>
          </w:p>
        </w:tc>
        <w:tc>
          <w:tcPr>
            <w:tcW w:w="1134" w:type="dxa"/>
            <w:tcBorders>
              <w:left w:val="single" w:sz="8" w:space="0" w:color="FFFFFF" w:themeColor="background1"/>
            </w:tcBorders>
            <w:vAlign w:val="center"/>
          </w:tcPr>
          <w:p w:rsidR="00590738" w:rsidRPr="00577495" w:rsidRDefault="000D02B8" w:rsidP="00CB5EE5">
            <w:pPr>
              <w:jc w:val="center"/>
              <w:cnfStyle w:val="000000100000"/>
              <w:rPr>
                <w:bCs/>
                <w:sz w:val="20"/>
                <w:szCs w:val="20"/>
              </w:rPr>
            </w:pPr>
            <w:r>
              <w:rPr>
                <w:bCs/>
                <w:sz w:val="20"/>
                <w:szCs w:val="20"/>
              </w:rPr>
              <w:t>7.9</w:t>
            </w:r>
            <w:r w:rsidR="00590738">
              <w:rPr>
                <w:bCs/>
                <w:sz w:val="20"/>
                <w:szCs w:val="20"/>
              </w:rPr>
              <w:t>%</w:t>
            </w:r>
          </w:p>
        </w:tc>
      </w:tr>
      <w:tr w:rsidR="00590738" w:rsidTr="00CB5EE5">
        <w:trPr>
          <w:cnfStyle w:val="000000010000"/>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SEIFI Group 3 (%)</w:t>
            </w:r>
          </w:p>
        </w:tc>
        <w:tc>
          <w:tcPr>
            <w:tcW w:w="1134" w:type="dxa"/>
            <w:tcBorders>
              <w:left w:val="single" w:sz="8" w:space="0" w:color="FFFFFF" w:themeColor="background1"/>
              <w:right w:val="single" w:sz="8" w:space="0" w:color="FFFFFF" w:themeColor="background1"/>
            </w:tcBorders>
            <w:vAlign w:val="center"/>
          </w:tcPr>
          <w:p w:rsidR="00590738" w:rsidRPr="00577495" w:rsidRDefault="00590738" w:rsidP="00CB5EE5">
            <w:pPr>
              <w:jc w:val="center"/>
              <w:cnfStyle w:val="000000010000"/>
              <w:rPr>
                <w:sz w:val="20"/>
                <w:szCs w:val="20"/>
              </w:rPr>
            </w:pPr>
            <w:r>
              <w:rPr>
                <w:sz w:val="20"/>
                <w:szCs w:val="20"/>
              </w:rPr>
              <w:t>31</w:t>
            </w:r>
            <w:r w:rsidR="000D02B8">
              <w:rPr>
                <w:sz w:val="20"/>
                <w:szCs w:val="20"/>
              </w:rPr>
              <w:t>.4</w:t>
            </w:r>
            <w:r>
              <w:rPr>
                <w:sz w:val="20"/>
                <w:szCs w:val="20"/>
              </w:rPr>
              <w:t>%</w:t>
            </w:r>
          </w:p>
        </w:tc>
        <w:tc>
          <w:tcPr>
            <w:tcW w:w="1134" w:type="dxa"/>
            <w:tcBorders>
              <w:left w:val="single" w:sz="8" w:space="0" w:color="FFFFFF" w:themeColor="background1"/>
            </w:tcBorders>
            <w:vAlign w:val="center"/>
          </w:tcPr>
          <w:p w:rsidR="00590738" w:rsidRPr="00577495" w:rsidRDefault="00590738" w:rsidP="00CB5EE5">
            <w:pPr>
              <w:jc w:val="center"/>
              <w:cnfStyle w:val="000000010000"/>
              <w:rPr>
                <w:bCs/>
                <w:sz w:val="20"/>
                <w:szCs w:val="20"/>
              </w:rPr>
            </w:pPr>
            <w:r>
              <w:rPr>
                <w:bCs/>
                <w:sz w:val="20"/>
                <w:szCs w:val="20"/>
              </w:rPr>
              <w:t>34</w:t>
            </w:r>
            <w:r w:rsidR="000D02B8">
              <w:rPr>
                <w:bCs/>
                <w:sz w:val="20"/>
                <w:szCs w:val="20"/>
              </w:rPr>
              <w:t>.4</w:t>
            </w:r>
            <w:r>
              <w:rPr>
                <w:bCs/>
                <w:sz w:val="20"/>
                <w:szCs w:val="20"/>
              </w:rPr>
              <w:t>%</w:t>
            </w:r>
          </w:p>
        </w:tc>
      </w:tr>
      <w:tr w:rsidR="00590738" w:rsidTr="00CB5EE5">
        <w:trPr>
          <w:cnfStyle w:val="000000100000"/>
          <w:trHeight w:val="67"/>
        </w:trPr>
        <w:tc>
          <w:tcPr>
            <w:cnfStyle w:val="001000000000"/>
            <w:tcW w:w="2093" w:type="dxa"/>
            <w:tcBorders>
              <w:bottom w:val="single" w:sz="8" w:space="0" w:color="FFFFFF" w:themeColor="background1"/>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sidRPr="00577495">
              <w:rPr>
                <w:b w:val="0"/>
                <w:bCs w:val="0"/>
                <w:color w:val="FFFFFF" w:themeColor="background1"/>
                <w:sz w:val="20"/>
                <w:szCs w:val="20"/>
              </w:rPr>
              <w:t>SEIFI Group 4 (%)</w:t>
            </w:r>
          </w:p>
        </w:tc>
        <w:tc>
          <w:tcPr>
            <w:tcW w:w="1134" w:type="dxa"/>
            <w:tcBorders>
              <w:left w:val="single" w:sz="8" w:space="0" w:color="FFFFFF" w:themeColor="background1"/>
              <w:bottom w:val="single" w:sz="8" w:space="0" w:color="FFFFFF" w:themeColor="background1"/>
              <w:right w:val="single" w:sz="8" w:space="0" w:color="FFFFFF" w:themeColor="background1"/>
            </w:tcBorders>
            <w:vAlign w:val="center"/>
          </w:tcPr>
          <w:p w:rsidR="00590738" w:rsidRPr="00577495" w:rsidRDefault="00590738" w:rsidP="00CB5EE5">
            <w:pPr>
              <w:jc w:val="center"/>
              <w:cnfStyle w:val="000000100000"/>
              <w:rPr>
                <w:sz w:val="20"/>
                <w:szCs w:val="20"/>
              </w:rPr>
            </w:pPr>
            <w:r>
              <w:rPr>
                <w:sz w:val="20"/>
                <w:szCs w:val="20"/>
              </w:rPr>
              <w:t>39</w:t>
            </w:r>
            <w:r w:rsidR="000D02B8">
              <w:rPr>
                <w:sz w:val="20"/>
                <w:szCs w:val="20"/>
              </w:rPr>
              <w:t>.0</w:t>
            </w:r>
            <w:r>
              <w:rPr>
                <w:sz w:val="20"/>
                <w:szCs w:val="20"/>
              </w:rPr>
              <w:t>%</w:t>
            </w:r>
          </w:p>
        </w:tc>
        <w:tc>
          <w:tcPr>
            <w:tcW w:w="1134" w:type="dxa"/>
            <w:tcBorders>
              <w:left w:val="single" w:sz="8" w:space="0" w:color="FFFFFF" w:themeColor="background1"/>
              <w:bottom w:val="single" w:sz="8" w:space="0" w:color="FFFFFF" w:themeColor="background1"/>
            </w:tcBorders>
            <w:vAlign w:val="center"/>
          </w:tcPr>
          <w:p w:rsidR="00590738" w:rsidRPr="00577495" w:rsidRDefault="000D02B8" w:rsidP="00CB5EE5">
            <w:pPr>
              <w:jc w:val="center"/>
              <w:cnfStyle w:val="000000100000"/>
              <w:rPr>
                <w:bCs/>
                <w:sz w:val="20"/>
                <w:szCs w:val="20"/>
              </w:rPr>
            </w:pPr>
            <w:r>
              <w:rPr>
                <w:bCs/>
                <w:sz w:val="20"/>
                <w:szCs w:val="20"/>
              </w:rPr>
              <w:t>54.6</w:t>
            </w:r>
            <w:r w:rsidR="00590738">
              <w:rPr>
                <w:bCs/>
                <w:sz w:val="20"/>
                <w:szCs w:val="20"/>
              </w:rPr>
              <w:t>%</w:t>
            </w:r>
          </w:p>
        </w:tc>
      </w:tr>
      <w:tr w:rsidR="00590738" w:rsidTr="00CB5EE5">
        <w:trPr>
          <w:cnfStyle w:val="000000010000"/>
          <w:trHeight w:val="67"/>
        </w:trPr>
        <w:tc>
          <w:tcPr>
            <w:cnfStyle w:val="001000000000"/>
            <w:tcW w:w="2093" w:type="dxa"/>
            <w:tcBorders>
              <w:right w:val="single" w:sz="8" w:space="0" w:color="FFFFFF" w:themeColor="background1"/>
            </w:tcBorders>
            <w:shd w:val="clear" w:color="auto" w:fill="4BACC6" w:themeFill="accent5"/>
            <w:vAlign w:val="center"/>
          </w:tcPr>
          <w:p w:rsidR="00590738" w:rsidRPr="00577495" w:rsidRDefault="00590738" w:rsidP="00CB5EE5">
            <w:pPr>
              <w:jc w:val="center"/>
              <w:rPr>
                <w:b w:val="0"/>
                <w:bCs w:val="0"/>
                <w:color w:val="FFFFFF" w:themeColor="background1"/>
                <w:sz w:val="20"/>
                <w:szCs w:val="20"/>
              </w:rPr>
            </w:pPr>
            <w:r>
              <w:rPr>
                <w:b w:val="0"/>
                <w:bCs w:val="0"/>
                <w:color w:val="FFFFFF" w:themeColor="background1"/>
                <w:sz w:val="20"/>
                <w:szCs w:val="20"/>
              </w:rPr>
              <w:t xml:space="preserve"> No. of CDs</w:t>
            </w:r>
          </w:p>
        </w:tc>
        <w:tc>
          <w:tcPr>
            <w:tcW w:w="1134" w:type="dxa"/>
            <w:tcBorders>
              <w:right w:val="single" w:sz="8" w:space="0" w:color="FFFFFF" w:themeColor="background1"/>
            </w:tcBorders>
            <w:vAlign w:val="center"/>
          </w:tcPr>
          <w:p w:rsidR="00590738" w:rsidRDefault="00590738" w:rsidP="00CB5EE5">
            <w:pPr>
              <w:jc w:val="center"/>
              <w:cnfStyle w:val="000000010000"/>
              <w:rPr>
                <w:sz w:val="20"/>
                <w:szCs w:val="20"/>
              </w:rPr>
            </w:pPr>
            <w:r>
              <w:rPr>
                <w:sz w:val="20"/>
                <w:szCs w:val="20"/>
              </w:rPr>
              <w:t>6</w:t>
            </w:r>
          </w:p>
        </w:tc>
        <w:tc>
          <w:tcPr>
            <w:tcW w:w="1134" w:type="dxa"/>
            <w:tcBorders>
              <w:left w:val="single" w:sz="8" w:space="0" w:color="FFFFFF" w:themeColor="background1"/>
              <w:right w:val="single" w:sz="8" w:space="0" w:color="FFFFFF" w:themeColor="background1"/>
            </w:tcBorders>
            <w:vAlign w:val="center"/>
          </w:tcPr>
          <w:p w:rsidR="00590738" w:rsidRDefault="00590738" w:rsidP="00CB5EE5">
            <w:pPr>
              <w:jc w:val="center"/>
              <w:cnfStyle w:val="000000010000"/>
              <w:rPr>
                <w:bCs/>
                <w:sz w:val="20"/>
                <w:szCs w:val="20"/>
              </w:rPr>
            </w:pPr>
            <w:r>
              <w:rPr>
                <w:bCs/>
                <w:sz w:val="20"/>
                <w:szCs w:val="20"/>
              </w:rPr>
              <w:t>4</w:t>
            </w:r>
          </w:p>
        </w:tc>
      </w:tr>
    </w:tbl>
    <w:p w:rsidR="00590738" w:rsidRPr="00F30067" w:rsidRDefault="00D67B26" w:rsidP="00590738">
      <w:r w:rsidRPr="00D67B26">
        <w:rPr>
          <w:bCs/>
          <w:noProof/>
          <w:lang w:val="en-AU" w:eastAsia="en-AU"/>
        </w:rPr>
        <w:pict>
          <v:shape id="_x0000_s1054" type="#_x0000_t202" style="position:absolute;margin-left:-220.2pt;margin-top:172.6pt;width:196.2pt;height:12pt;z-index:2517196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54" inset="0,0,0,0">
              <w:txbxContent>
                <w:p w:rsidR="006B6874" w:rsidRPr="003610C9" w:rsidRDefault="006B6874" w:rsidP="00EA0389">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txbxContent>
            </v:textbox>
          </v:shape>
        </w:pict>
      </w:r>
      <w:r w:rsidR="00590738">
        <w:t xml:space="preserve">The SEIFA scores of neighbouring suburbs </w:t>
      </w:r>
      <w:proofErr w:type="spellStart"/>
      <w:r w:rsidR="00590738">
        <w:t>Rivett</w:t>
      </w:r>
      <w:proofErr w:type="spellEnd"/>
      <w:r w:rsidR="00590738">
        <w:t xml:space="preserve"> and Chapman in the subdivision of Weston Creek-Stromlo both fall into Group 4, the least disadvantaged cohort. The interpretation of their respective scores of 8 and 10 would be that, while </w:t>
      </w:r>
      <w:proofErr w:type="spellStart"/>
      <w:r w:rsidR="00590738">
        <w:t>Rivett</w:t>
      </w:r>
      <w:proofErr w:type="spellEnd"/>
      <w:r w:rsidR="00590738">
        <w:t xml:space="preserve"> has more relative socio-economic disadvantage than Chapman on average, both suburbs maintain a low level of socio-economic disadvantage overall. But while </w:t>
      </w:r>
      <w:proofErr w:type="spellStart"/>
      <w:r w:rsidR="00590738">
        <w:t>Rivett</w:t>
      </w:r>
      <w:proofErr w:type="spellEnd"/>
      <w:r w:rsidR="00590738">
        <w:t xml:space="preserve"> and Chapman may have similar SEIFA scores, </w:t>
      </w:r>
      <w:proofErr w:type="spellStart"/>
      <w:r w:rsidR="00590738">
        <w:t>Rivett</w:t>
      </w:r>
      <w:proofErr w:type="spellEnd"/>
      <w:r w:rsidR="00590738">
        <w:t xml:space="preserve"> has a much more diverse distribution of disadvantage with higher numbers of individuals experiencing greater relative disadvantage, and the high SEIFA scores in Chapman mask its disadvantaged population completely. </w:t>
      </w:r>
    </w:p>
    <w:p w:rsidR="00590738" w:rsidRDefault="00590738" w:rsidP="00590738">
      <w:r>
        <w:rPr>
          <w:rStyle w:val="Strong"/>
          <w:b w:val="0"/>
        </w:rPr>
        <w:t xml:space="preserve">Of the population aged 15 and over in </w:t>
      </w:r>
      <w:proofErr w:type="spellStart"/>
      <w:r>
        <w:rPr>
          <w:rStyle w:val="Strong"/>
          <w:b w:val="0"/>
        </w:rPr>
        <w:t>Rivett</w:t>
      </w:r>
      <w:proofErr w:type="spellEnd"/>
      <w:r>
        <w:rPr>
          <w:rStyle w:val="Strong"/>
          <w:b w:val="0"/>
        </w:rPr>
        <w:t>, 66.5% participates in the labour force, 2.9% are unemployed and seeking employment, and 27.7% earn less than $400 per week in income. Comparatively, of the Chapman population aged 15 and over, 67.1% participates in the labour force, 2.7% are unemployed and seeking employment, and 25.5% earn less than $400 per week in income.</w:t>
      </w:r>
      <w:r w:rsidRPr="0064073B">
        <w:rPr>
          <w:rStyle w:val="Strong"/>
          <w:b w:val="0"/>
        </w:rPr>
        <w:t xml:space="preserve"> </w:t>
      </w:r>
      <w:r>
        <w:rPr>
          <w:rStyle w:val="Strong"/>
          <w:b w:val="0"/>
        </w:rPr>
        <w:t xml:space="preserve">The median weekly rent in </w:t>
      </w:r>
      <w:proofErr w:type="spellStart"/>
      <w:r>
        <w:rPr>
          <w:rStyle w:val="Strong"/>
          <w:b w:val="0"/>
        </w:rPr>
        <w:t>Rivett</w:t>
      </w:r>
      <w:proofErr w:type="spellEnd"/>
      <w:r>
        <w:rPr>
          <w:rStyle w:val="Strong"/>
          <w:b w:val="0"/>
        </w:rPr>
        <w:t xml:space="preserve"> is $240 and total of 295 dwellings are currently being rented, including 133 public housing units being rented through Housing and Community Services ACT. In Chapman, the median weekly rent is $340, only 63 dwellings are currently being rented, and there are currently no public housing units in the suburb</w:t>
      </w:r>
      <w:r w:rsidR="0005011C" w:rsidRPr="001D038A">
        <w:rPr>
          <w:vertAlign w:val="superscript"/>
        </w:rPr>
        <w:t>1</w:t>
      </w:r>
      <w:r w:rsidR="0005011C">
        <w:rPr>
          <w:vertAlign w:val="superscript"/>
        </w:rPr>
        <w:t>0</w:t>
      </w:r>
      <w:r>
        <w:rPr>
          <w:rStyle w:val="Strong"/>
          <w:b w:val="0"/>
        </w:rPr>
        <w:t>.</w:t>
      </w:r>
    </w:p>
    <w:p w:rsidR="00590738" w:rsidRDefault="00590738" w:rsidP="00590738">
      <w:r>
        <w:t xml:space="preserve">Of the four CDs in Chapman, three have SEIFA scores of 10 and the fourth has a SEIFA score of 9. The SEIFI </w:t>
      </w:r>
      <w:r w:rsidR="00E67C11">
        <w:t xml:space="preserve">IRSD </w:t>
      </w:r>
      <w:r>
        <w:t xml:space="preserve">data for Chapman </w:t>
      </w:r>
      <w:r w:rsidR="00E67C11">
        <w:t>i</w:t>
      </w:r>
      <w:r>
        <w:t>ndicates that a large proportion of the population in this suburb experience</w:t>
      </w:r>
      <w:r w:rsidR="00127385">
        <w:t>s</w:t>
      </w:r>
      <w:r>
        <w:t xml:space="preserve"> little to no relative socio-economic disadvantage.  The collection districts in Chapman all have Group 1 proportions of less than 5% and Group 2 proportions of less than 11%. Rather, the CDs in Chapman have proportions of Group 3 and Group 4 residents</w:t>
      </w:r>
      <w:r w:rsidR="00E67C11">
        <w:t xml:space="preserve"> aged 15-64</w:t>
      </w:r>
      <w:r>
        <w:t xml:space="preserve"> that are well above average, ranging from 30.9% to 37.3% in Group 3 and from 47.7% to 60.5% in Group 4. With such high SEIFA scores, however, </w:t>
      </w:r>
      <w:r w:rsidR="005F5E67">
        <w:t xml:space="preserve">the </w:t>
      </w:r>
      <w:r w:rsidR="00E67C11">
        <w:t xml:space="preserve">15-64 year olds in </w:t>
      </w:r>
      <w:r w:rsidR="005F5E67">
        <w:t xml:space="preserve">who </w:t>
      </w:r>
      <w:r w:rsidR="00E67C11">
        <w:t>Chapman</w:t>
      </w:r>
      <w:r w:rsidR="00BD4DA4">
        <w:t xml:space="preserve"> experience</w:t>
      </w:r>
      <w:r>
        <w:t xml:space="preserve"> greater relative socio-economic disadvantage than th</w:t>
      </w:r>
      <w:r w:rsidR="005F5E67">
        <w:t>e more</w:t>
      </w:r>
      <w:r>
        <w:t xml:space="preserve"> privileged majority are masked, including 56 Group 1 individuals, 142 Group 2 individuals, and 620 Group 3 individuals, totalling 818 individuals.  </w:t>
      </w:r>
    </w:p>
    <w:p w:rsidR="00590738" w:rsidRDefault="00590738" w:rsidP="00590738">
      <w:r>
        <w:t xml:space="preserve">By contrast, the collection districts in </w:t>
      </w:r>
      <w:proofErr w:type="spellStart"/>
      <w:r>
        <w:t>Rivett</w:t>
      </w:r>
      <w:proofErr w:type="spellEnd"/>
      <w:r>
        <w:t xml:space="preserve"> have </w:t>
      </w:r>
      <w:r w:rsidR="00127385">
        <w:t>a much greater</w:t>
      </w:r>
      <w:r w:rsidR="005F5E67">
        <w:t xml:space="preserve"> spread</w:t>
      </w:r>
      <w:r w:rsidR="00127385">
        <w:t xml:space="preserve"> of </w:t>
      </w:r>
      <w:r>
        <w:t xml:space="preserve">SEIFA scores </w:t>
      </w:r>
      <w:r w:rsidR="005F5E67">
        <w:t xml:space="preserve">ranging </w:t>
      </w:r>
      <w:r>
        <w:t xml:space="preserve">from </w:t>
      </w:r>
      <w:r w:rsidR="00127385">
        <w:t xml:space="preserve">deciles </w:t>
      </w:r>
      <w:r>
        <w:t xml:space="preserve">5 to </w:t>
      </w:r>
      <w:r w:rsidR="00127385">
        <w:t xml:space="preserve">9. Three of </w:t>
      </w:r>
      <w:r w:rsidR="005F5E67">
        <w:t>these</w:t>
      </w:r>
      <w:r w:rsidR="00127385">
        <w:t xml:space="preserve"> CDs </w:t>
      </w:r>
      <w:r>
        <w:t xml:space="preserve">have </w:t>
      </w:r>
      <w:r w:rsidR="005F5E67">
        <w:t xml:space="preserve">high SEIFA </w:t>
      </w:r>
      <w:r w:rsidR="00C303A1">
        <w:t>rankings and fall</w:t>
      </w:r>
      <w:r w:rsidR="005F5E67">
        <w:t xml:space="preserve"> into deciles 8 or 9</w:t>
      </w:r>
      <w:r w:rsidR="00C303A1">
        <w:t xml:space="preserve">, but also have </w:t>
      </w:r>
      <w:r>
        <w:t xml:space="preserve">Group 2 proportions of between 15.4% and 17.8%, among the highest CD-level proportions of this socio-economic group across the ACT. </w:t>
      </w:r>
      <w:r w:rsidR="00C303A1">
        <w:t>Together</w:t>
      </w:r>
      <w:proofErr w:type="gramStart"/>
      <w:r w:rsidR="00C303A1">
        <w:t xml:space="preserve">,  </w:t>
      </w:r>
      <w:r>
        <w:t>534</w:t>
      </w:r>
      <w:proofErr w:type="gramEnd"/>
      <w:r>
        <w:t xml:space="preserve"> </w:t>
      </w:r>
      <w:proofErr w:type="spellStart"/>
      <w:r>
        <w:t>Rivett</w:t>
      </w:r>
      <w:proofErr w:type="spellEnd"/>
      <w:r>
        <w:t xml:space="preserve"> residents</w:t>
      </w:r>
      <w:r w:rsidR="00E02ADD">
        <w:t xml:space="preserve"> aged 15-64</w:t>
      </w:r>
      <w:r w:rsidR="00C303A1">
        <w:t xml:space="preserve"> are masked in these three collection districts</w:t>
      </w:r>
      <w:r>
        <w:t xml:space="preserve">, including 141 in Group 2 and 107 in Group 1. </w:t>
      </w:r>
    </w:p>
    <w:p w:rsidR="00435B28" w:rsidRDefault="00C47165" w:rsidP="00590738">
      <w:r>
        <w:lastRenderedPageBreak/>
        <w:t xml:space="preserve">Comparatively the remaining </w:t>
      </w:r>
      <w:proofErr w:type="spellStart"/>
      <w:r>
        <w:t>Rivett</w:t>
      </w:r>
      <w:proofErr w:type="spellEnd"/>
      <w:r>
        <w:t xml:space="preserve"> CDs have greater proportions of Group 1 residents as well as lower </w:t>
      </w:r>
      <w:r w:rsidR="00590738">
        <w:t xml:space="preserve">SEIFA </w:t>
      </w:r>
      <w:r w:rsidR="00EC7ADB">
        <w:t xml:space="preserve">IRSD </w:t>
      </w:r>
      <w:r w:rsidR="00590738">
        <w:t>scores of between 5 and 7</w:t>
      </w:r>
      <w:r w:rsidR="00EC7ADB">
        <w:t xml:space="preserve">. While the lower SEIFA scores may </w:t>
      </w:r>
      <w:r w:rsidR="00590738">
        <w:t xml:space="preserve">be a reflection of the </w:t>
      </w:r>
      <w:r w:rsidR="00EC7ADB">
        <w:t xml:space="preserve">attributes of the local population, </w:t>
      </w:r>
      <w:r w:rsidR="00590738">
        <w:t>these three Rivet CDs also have a greater percentage of Group 4 individuals, with proporti</w:t>
      </w:r>
      <w:r w:rsidR="00EC7ADB">
        <w:t xml:space="preserve">ons of between 38.7% and 41.0%, which complicates the interpretation of the SEIFA score at the individual level.  </w:t>
      </w:r>
    </w:p>
    <w:p w:rsidR="007971DB" w:rsidRDefault="00435B28" w:rsidP="00590738">
      <w:r>
        <w:t xml:space="preserve">Of </w:t>
      </w:r>
      <w:r w:rsidR="004435E6">
        <w:t>these three CDs</w:t>
      </w:r>
      <w:r>
        <w:t xml:space="preserve">, </w:t>
      </w:r>
      <w:proofErr w:type="spellStart"/>
      <w:r w:rsidR="00590738">
        <w:t>Rivett</w:t>
      </w:r>
      <w:proofErr w:type="spellEnd"/>
      <w:r w:rsidR="00590738">
        <w:t xml:space="preserve"> 8021802 is a diverse collection district, with above average proportions of both Group 1 and Group 4 residents </w:t>
      </w:r>
      <w:r w:rsidR="00E02ADD">
        <w:t xml:space="preserve">aged 15-64 </w:t>
      </w:r>
      <w:r w:rsidR="00590738">
        <w:t>at 23.4% and 38.7%, respectively. This diversity is not captured by the collection district’s SEIFA score of 5, which masks 132 of the suburbs most disadvantaged individuals</w:t>
      </w:r>
      <w:r w:rsidR="00E02ADD">
        <w:t xml:space="preserve"> aged 15-64</w:t>
      </w:r>
      <w:r w:rsidR="00590738">
        <w:t xml:space="preserve">, including 93 Group 1 residents and 39 Group 2 residents. With SEIFA scores of 7, </w:t>
      </w:r>
      <w:proofErr w:type="spellStart"/>
      <w:r w:rsidR="00590738">
        <w:t>Rivett</w:t>
      </w:r>
      <w:proofErr w:type="spellEnd"/>
      <w:r w:rsidR="00590738">
        <w:t xml:space="preserve"> CDs 8021804 and 8021801 both have Group 1 proportions of 17.1% and </w:t>
      </w:r>
      <w:r w:rsidR="00243D49">
        <w:t xml:space="preserve">Group 4 </w:t>
      </w:r>
      <w:r w:rsidR="00590738">
        <w:t xml:space="preserve">proportions of 40.2% and 41.0% respectively, leaving hidden 278 disadvantaged </w:t>
      </w:r>
      <w:proofErr w:type="spellStart"/>
      <w:r w:rsidR="00590738">
        <w:t>Rivett</w:t>
      </w:r>
      <w:proofErr w:type="spellEnd"/>
      <w:r w:rsidR="00590738">
        <w:t xml:space="preserve"> residents</w:t>
      </w:r>
      <w:r w:rsidR="004435E6">
        <w:t xml:space="preserve"> aged 15-64</w:t>
      </w:r>
      <w:r w:rsidR="00590738">
        <w:t xml:space="preserve">. In total, 945 relatively disadvantaged </w:t>
      </w:r>
      <w:r w:rsidR="00BD4DA4">
        <w:t>individuals</w:t>
      </w:r>
      <w:r w:rsidR="004435E6">
        <w:t xml:space="preserve"> aged 15-64</w:t>
      </w:r>
      <w:r w:rsidR="00BD4DA4">
        <w:t xml:space="preserve"> in</w:t>
      </w:r>
      <w:r w:rsidR="00590738">
        <w:t xml:space="preserve"> </w:t>
      </w:r>
      <w:proofErr w:type="spellStart"/>
      <w:r w:rsidR="00590738">
        <w:t>Rivett</w:t>
      </w:r>
      <w:proofErr w:type="spellEnd"/>
      <w:r w:rsidR="00590738">
        <w:t xml:space="preserve"> are hidden by SEIFA at the CD-level, and this number increases to 1359 individuals</w:t>
      </w:r>
      <w:r w:rsidR="00BE29B6">
        <w:t xml:space="preserve"> aged 15-64 </w:t>
      </w:r>
      <w:r w:rsidR="00590738">
        <w:t xml:space="preserve">when taken at the suburb level. </w:t>
      </w:r>
      <w:r w:rsidR="004718C4">
        <w:t xml:space="preserve"> </w:t>
      </w:r>
    </w:p>
    <w:p w:rsidR="00590738" w:rsidRDefault="007971DB" w:rsidP="00590738">
      <w:r>
        <w:t>The breakdown of the SEIFI data for these two suburbs shows that, i</w:t>
      </w:r>
      <w:r w:rsidR="004718C4">
        <w:t xml:space="preserve">n contrast to neighbours Ainslie and </w:t>
      </w:r>
      <w:proofErr w:type="spellStart"/>
      <w:r w:rsidR="004718C4">
        <w:t>Braddon</w:t>
      </w:r>
      <w:proofErr w:type="spellEnd"/>
      <w:r w:rsidR="004718C4">
        <w:t xml:space="preserve">, </w:t>
      </w:r>
      <w:proofErr w:type="spellStart"/>
      <w:r w:rsidR="004718C4">
        <w:t>Rivett</w:t>
      </w:r>
      <w:proofErr w:type="spellEnd"/>
      <w:r w:rsidR="004718C4">
        <w:t xml:space="preserve"> and Chapman have similar SEIFA scores but divergent distributions of individual level disadvantage, demonstrating again that SEIFA is not an appropriate measure for describing relative socio-economic disadvantage at the individual</w:t>
      </w:r>
      <w:r w:rsidR="002A3B72">
        <w:t xml:space="preserve"> </w:t>
      </w:r>
      <w:r w:rsidR="004718C4">
        <w:t xml:space="preserve">level. </w:t>
      </w:r>
    </w:p>
    <w:p w:rsidR="00590738" w:rsidRPr="008230AD" w:rsidRDefault="00590738" w:rsidP="008230AD">
      <w:pPr>
        <w:pStyle w:val="Heading3"/>
      </w:pPr>
      <w:bookmarkStart w:id="29" w:name="_The_Odd_One"/>
      <w:bookmarkStart w:id="30" w:name="_Toc328488671"/>
      <w:bookmarkStart w:id="31" w:name="_Toc358033198"/>
      <w:bookmarkEnd w:id="29"/>
      <w:r w:rsidRPr="008230AD">
        <w:t>The Odd One Masked</w:t>
      </w:r>
      <w:bookmarkEnd w:id="30"/>
      <w:r w:rsidR="00B90E9E" w:rsidRPr="008230AD">
        <w:t>: Pockets of High Disadvantage within Suburbs</w:t>
      </w:r>
      <w:bookmarkEnd w:id="31"/>
    </w:p>
    <w:p w:rsidR="00590738" w:rsidRDefault="00590738" w:rsidP="00590738">
      <w:r>
        <w:t xml:space="preserve">The Housing and Community Services division of </w:t>
      </w:r>
      <w:r w:rsidR="000D02B8">
        <w:t xml:space="preserve">ACT </w:t>
      </w:r>
      <w:r>
        <w:t>Community Services Directorate</w:t>
      </w:r>
      <w:r w:rsidR="00772285">
        <w:t xml:space="preserve"> </w:t>
      </w:r>
      <w:r w:rsidR="00BD3E3F">
        <w:t xml:space="preserve">(CSD) </w:t>
      </w:r>
      <w:r>
        <w:t xml:space="preserve">has developed a Public Housing Asset Management Strategy </w:t>
      </w:r>
      <w:r w:rsidR="00772285">
        <w:t>that</w:t>
      </w:r>
      <w:r>
        <w:t xml:space="preserve"> determines the availability, location, and viability of public housing in the Territory. This strategy is founded on a number of principles </w:t>
      </w:r>
      <w:r w:rsidR="00772285">
        <w:t>intended to</w:t>
      </w:r>
      <w:r>
        <w:t xml:space="preserve"> respond to the challenges of providing accessible and sustainable housing assistance to low-income </w:t>
      </w:r>
      <w:proofErr w:type="spellStart"/>
      <w:r>
        <w:t>Canberrans</w:t>
      </w:r>
      <w:proofErr w:type="spellEnd"/>
      <w:r>
        <w:t xml:space="preserve">. </w:t>
      </w:r>
    </w:p>
    <w:p w:rsidR="00590738" w:rsidRDefault="00EB2AFF" w:rsidP="00590738">
      <w:r>
        <w:t>In accordance with the strategy, p</w:t>
      </w:r>
      <w:r w:rsidR="00590738">
        <w:t>ublic housing in the ACT is ‘salt and peppered’ throughout the region to reduce high concentrations of localised disadvantage, provide better quality housing, optimise access to public transport, education, and employment opportunities, and provide housing properties with potential for value growth</w:t>
      </w:r>
      <w:r w:rsidR="0005011C" w:rsidRPr="001D038A">
        <w:rPr>
          <w:vertAlign w:val="superscript"/>
        </w:rPr>
        <w:t>1</w:t>
      </w:r>
      <w:r w:rsidR="00D812B6">
        <w:rPr>
          <w:vertAlign w:val="superscript"/>
        </w:rPr>
        <w:t>1</w:t>
      </w:r>
      <w:r w:rsidR="00590738">
        <w:t xml:space="preserve">. Rather than isolating public housing to a few select suburbs, as has been the historical practice in other jurisdictions, most ACT suburbs contain a small number of public housing units. These management principles </w:t>
      </w:r>
      <w:r w:rsidR="000D02B8">
        <w:t>we</w:t>
      </w:r>
      <w:r w:rsidR="00772285">
        <w:t xml:space="preserve">re designed to </w:t>
      </w:r>
      <w:r w:rsidR="00590738">
        <w:t>help break the cycle of poverty by encouraging sustainable tenancies and fostering inclusive communities that allow individuals to build stable and productive links to their community.</w:t>
      </w:r>
    </w:p>
    <w:p w:rsidR="002A3B72" w:rsidRDefault="002A3B72" w:rsidP="002A3B72">
      <w:r>
        <w:t xml:space="preserve">This strategy also </w:t>
      </w:r>
      <w:r w:rsidR="00772285">
        <w:t>impacts</w:t>
      </w:r>
      <w:r>
        <w:t xml:space="preserve"> the geographic distribution of socio-economically disadvantaged individuals across the ACT, contributing to the increased diversity of individual disadvantage within suburbs or collection districts. </w:t>
      </w:r>
    </w:p>
    <w:p w:rsidR="00590738" w:rsidRPr="008230AD" w:rsidRDefault="00590738" w:rsidP="008230AD">
      <w:pPr>
        <w:pStyle w:val="Heading4"/>
      </w:pPr>
      <w:bookmarkStart w:id="32" w:name="_Toc358033199"/>
      <w:r w:rsidRPr="008230AD">
        <w:lastRenderedPageBreak/>
        <w:t>Kingston</w:t>
      </w:r>
      <w:bookmarkEnd w:id="32"/>
    </w:p>
    <w:tbl>
      <w:tblPr>
        <w:tblStyle w:val="MediumShading1-Accent5"/>
        <w:tblpPr w:leftFromText="180" w:rightFromText="180" w:vertAnchor="text" w:horzAnchor="margin" w:tblpXSpec="right" w:tblpY="866"/>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985"/>
        <w:gridCol w:w="1276"/>
        <w:gridCol w:w="1276"/>
      </w:tblGrid>
      <w:tr w:rsidR="00EB2AFF" w:rsidTr="00EB2AFF">
        <w:trPr>
          <w:cnfStyle w:val="100000000000"/>
        </w:trPr>
        <w:tc>
          <w:tcPr>
            <w:cnfStyle w:val="001000000000"/>
            <w:tcW w:w="1985" w:type="dxa"/>
            <w:tcBorders>
              <w:top w:val="nil"/>
              <w:left w:val="nil"/>
              <w:right w:val="single" w:sz="8" w:space="0" w:color="FFFFFF" w:themeColor="background1"/>
            </w:tcBorders>
            <w:shd w:val="clear" w:color="auto" w:fill="auto"/>
          </w:tcPr>
          <w:p w:rsidR="00EB2AFF" w:rsidRPr="00577495" w:rsidRDefault="00EB2AFF" w:rsidP="00EB2AFF">
            <w:pPr>
              <w:jc w:val="center"/>
              <w:rPr>
                <w:sz w:val="20"/>
                <w:szCs w:val="20"/>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B2AFF" w:rsidRPr="00577495" w:rsidRDefault="00EB2AFF" w:rsidP="00EB2AFF">
            <w:pPr>
              <w:spacing w:before="40" w:after="40"/>
              <w:jc w:val="center"/>
              <w:cnfStyle w:val="100000000000"/>
              <w:rPr>
                <w:b w:val="0"/>
                <w:bCs w:val="0"/>
                <w:sz w:val="20"/>
                <w:szCs w:val="20"/>
              </w:rPr>
            </w:pPr>
            <w:r>
              <w:rPr>
                <w:b w:val="0"/>
                <w:bCs w:val="0"/>
                <w:sz w:val="20"/>
                <w:szCs w:val="20"/>
              </w:rPr>
              <w:t>Suburb of Kingston</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B2AFF" w:rsidRPr="00577495" w:rsidRDefault="00EB2AFF" w:rsidP="00EB2AFF">
            <w:pPr>
              <w:spacing w:before="40" w:after="40"/>
              <w:jc w:val="center"/>
              <w:cnfStyle w:val="100000000000"/>
              <w:rPr>
                <w:b w:val="0"/>
                <w:bCs w:val="0"/>
                <w:sz w:val="20"/>
                <w:szCs w:val="20"/>
              </w:rPr>
            </w:pPr>
            <w:r>
              <w:rPr>
                <w:b w:val="0"/>
                <w:bCs w:val="0"/>
                <w:sz w:val="20"/>
                <w:szCs w:val="20"/>
              </w:rPr>
              <w:t>Kingston CD 8014302</w:t>
            </w:r>
          </w:p>
        </w:tc>
      </w:tr>
      <w:tr w:rsidR="00EB2AFF" w:rsidTr="00EB2AFF">
        <w:trPr>
          <w:cnfStyle w:val="000000100000"/>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 xml:space="preserve">SEIFA </w:t>
            </w:r>
            <w:proofErr w:type="spellStart"/>
            <w:r w:rsidRPr="00577495">
              <w:rPr>
                <w:b w:val="0"/>
                <w:bCs w:val="0"/>
                <w:color w:val="FFFFFF" w:themeColor="background1"/>
                <w:sz w:val="20"/>
                <w:szCs w:val="20"/>
              </w:rPr>
              <w:t>decile</w:t>
            </w:r>
            <w:proofErr w:type="spellEnd"/>
            <w:r w:rsidRPr="00577495">
              <w:rPr>
                <w:b w:val="0"/>
                <w:bCs w:val="0"/>
                <w:color w:val="FFFFFF" w:themeColor="background1"/>
                <w:sz w:val="20"/>
                <w:szCs w:val="20"/>
              </w:rPr>
              <w:t xml:space="preserve"> score</w:t>
            </w:r>
          </w:p>
        </w:tc>
        <w:tc>
          <w:tcPr>
            <w:tcW w:w="1276" w:type="dxa"/>
            <w:tcBorders>
              <w:left w:val="single" w:sz="8" w:space="0" w:color="FFFFFF" w:themeColor="background1"/>
              <w:right w:val="single" w:sz="8" w:space="0" w:color="FFFFFF" w:themeColor="background1"/>
            </w:tcBorders>
            <w:vAlign w:val="center"/>
          </w:tcPr>
          <w:p w:rsidR="00EB2AFF" w:rsidRPr="00577495" w:rsidRDefault="00EB2AFF" w:rsidP="00EB2AFF">
            <w:pPr>
              <w:jc w:val="center"/>
              <w:cnfStyle w:val="000000100000"/>
              <w:rPr>
                <w:sz w:val="20"/>
                <w:szCs w:val="20"/>
              </w:rPr>
            </w:pPr>
            <w:r>
              <w:rPr>
                <w:sz w:val="20"/>
                <w:szCs w:val="20"/>
              </w:rPr>
              <w:t>10</w:t>
            </w:r>
          </w:p>
        </w:tc>
        <w:tc>
          <w:tcPr>
            <w:tcW w:w="1276" w:type="dxa"/>
            <w:tcBorders>
              <w:left w:val="single" w:sz="8" w:space="0" w:color="FFFFFF" w:themeColor="background1"/>
            </w:tcBorders>
            <w:vAlign w:val="center"/>
          </w:tcPr>
          <w:p w:rsidR="00EB2AFF" w:rsidRPr="00577495" w:rsidRDefault="00EB2AFF" w:rsidP="00EB2AFF">
            <w:pPr>
              <w:jc w:val="center"/>
              <w:cnfStyle w:val="000000100000"/>
              <w:rPr>
                <w:bCs/>
                <w:sz w:val="20"/>
                <w:szCs w:val="20"/>
              </w:rPr>
            </w:pPr>
            <w:r>
              <w:rPr>
                <w:bCs/>
                <w:sz w:val="20"/>
                <w:szCs w:val="20"/>
              </w:rPr>
              <w:t>1</w:t>
            </w:r>
          </w:p>
        </w:tc>
      </w:tr>
      <w:tr w:rsidR="00EB2AFF" w:rsidTr="00EB2AFF">
        <w:trPr>
          <w:cnfStyle w:val="000000010000"/>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Usual Resident Pop.</w:t>
            </w:r>
          </w:p>
        </w:tc>
        <w:tc>
          <w:tcPr>
            <w:tcW w:w="1276" w:type="dxa"/>
            <w:tcBorders>
              <w:left w:val="single" w:sz="8" w:space="0" w:color="FFFFFF" w:themeColor="background1"/>
              <w:right w:val="single" w:sz="8" w:space="0" w:color="FFFFFF" w:themeColor="background1"/>
            </w:tcBorders>
            <w:vAlign w:val="center"/>
          </w:tcPr>
          <w:p w:rsidR="00EB2AFF" w:rsidRPr="00577495" w:rsidRDefault="00EB2AFF" w:rsidP="00EB2AFF">
            <w:pPr>
              <w:jc w:val="center"/>
              <w:cnfStyle w:val="000000010000"/>
              <w:rPr>
                <w:sz w:val="20"/>
                <w:szCs w:val="20"/>
              </w:rPr>
            </w:pPr>
            <w:r>
              <w:rPr>
                <w:sz w:val="20"/>
                <w:szCs w:val="20"/>
              </w:rPr>
              <w:t>2,451</w:t>
            </w:r>
          </w:p>
        </w:tc>
        <w:tc>
          <w:tcPr>
            <w:tcW w:w="1276" w:type="dxa"/>
            <w:tcBorders>
              <w:left w:val="single" w:sz="8" w:space="0" w:color="FFFFFF" w:themeColor="background1"/>
            </w:tcBorders>
            <w:vAlign w:val="center"/>
          </w:tcPr>
          <w:p w:rsidR="00EB2AFF" w:rsidRPr="00577495" w:rsidRDefault="00EB2AFF" w:rsidP="00EB2AFF">
            <w:pPr>
              <w:jc w:val="center"/>
              <w:cnfStyle w:val="000000010000"/>
              <w:rPr>
                <w:bCs/>
                <w:sz w:val="20"/>
                <w:szCs w:val="20"/>
              </w:rPr>
            </w:pPr>
            <w:r>
              <w:rPr>
                <w:bCs/>
                <w:sz w:val="20"/>
                <w:szCs w:val="20"/>
              </w:rPr>
              <w:t>129</w:t>
            </w:r>
          </w:p>
        </w:tc>
      </w:tr>
      <w:tr w:rsidR="00EB2AFF" w:rsidTr="00EB2AFF">
        <w:trPr>
          <w:cnfStyle w:val="000000100000"/>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15 to 64 Aged Pop.</w:t>
            </w:r>
          </w:p>
        </w:tc>
        <w:tc>
          <w:tcPr>
            <w:tcW w:w="1276" w:type="dxa"/>
            <w:tcBorders>
              <w:left w:val="single" w:sz="8" w:space="0" w:color="FFFFFF" w:themeColor="background1"/>
              <w:right w:val="single" w:sz="8" w:space="0" w:color="FFFFFF" w:themeColor="background1"/>
            </w:tcBorders>
            <w:vAlign w:val="center"/>
          </w:tcPr>
          <w:p w:rsidR="00EB2AFF" w:rsidRPr="00577495" w:rsidRDefault="00EB2AFF" w:rsidP="00EB2AFF">
            <w:pPr>
              <w:jc w:val="center"/>
              <w:cnfStyle w:val="000000100000"/>
              <w:rPr>
                <w:sz w:val="20"/>
                <w:szCs w:val="20"/>
              </w:rPr>
            </w:pPr>
            <w:r>
              <w:rPr>
                <w:sz w:val="20"/>
                <w:szCs w:val="20"/>
              </w:rPr>
              <w:t>2,129</w:t>
            </w:r>
          </w:p>
        </w:tc>
        <w:tc>
          <w:tcPr>
            <w:tcW w:w="1276" w:type="dxa"/>
            <w:tcBorders>
              <w:left w:val="single" w:sz="8" w:space="0" w:color="FFFFFF" w:themeColor="background1"/>
            </w:tcBorders>
            <w:vAlign w:val="center"/>
          </w:tcPr>
          <w:p w:rsidR="00EB2AFF" w:rsidRPr="00577495" w:rsidRDefault="00EB2AFF" w:rsidP="00EB2AFF">
            <w:pPr>
              <w:jc w:val="center"/>
              <w:cnfStyle w:val="000000100000"/>
              <w:rPr>
                <w:bCs/>
                <w:sz w:val="20"/>
                <w:szCs w:val="20"/>
              </w:rPr>
            </w:pPr>
            <w:r>
              <w:rPr>
                <w:bCs/>
                <w:sz w:val="20"/>
                <w:szCs w:val="20"/>
              </w:rPr>
              <w:t>78</w:t>
            </w:r>
          </w:p>
        </w:tc>
      </w:tr>
      <w:tr w:rsidR="00EB2AFF" w:rsidTr="00EB2AFF">
        <w:trPr>
          <w:cnfStyle w:val="000000010000"/>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SEIFI Group 1 (%)</w:t>
            </w:r>
          </w:p>
        </w:tc>
        <w:tc>
          <w:tcPr>
            <w:tcW w:w="1276" w:type="dxa"/>
            <w:tcBorders>
              <w:left w:val="single" w:sz="8" w:space="0" w:color="FFFFFF" w:themeColor="background1"/>
              <w:right w:val="single" w:sz="8" w:space="0" w:color="FFFFFF" w:themeColor="background1"/>
            </w:tcBorders>
            <w:vAlign w:val="center"/>
          </w:tcPr>
          <w:p w:rsidR="00EB2AFF" w:rsidRPr="00577495" w:rsidRDefault="00E10CC9" w:rsidP="00EB2AFF">
            <w:pPr>
              <w:jc w:val="center"/>
              <w:cnfStyle w:val="000000010000"/>
              <w:rPr>
                <w:sz w:val="20"/>
                <w:szCs w:val="20"/>
              </w:rPr>
            </w:pPr>
            <w:r>
              <w:rPr>
                <w:sz w:val="20"/>
                <w:szCs w:val="20"/>
              </w:rPr>
              <w:t>10.8</w:t>
            </w:r>
            <w:r w:rsidR="00EB2AFF" w:rsidRPr="00577495">
              <w:rPr>
                <w:sz w:val="20"/>
                <w:szCs w:val="20"/>
              </w:rPr>
              <w:t>%</w:t>
            </w:r>
          </w:p>
        </w:tc>
        <w:tc>
          <w:tcPr>
            <w:tcW w:w="1276" w:type="dxa"/>
            <w:tcBorders>
              <w:left w:val="single" w:sz="8" w:space="0" w:color="FFFFFF" w:themeColor="background1"/>
            </w:tcBorders>
            <w:vAlign w:val="center"/>
          </w:tcPr>
          <w:p w:rsidR="00EB2AFF" w:rsidRPr="00577495" w:rsidRDefault="00E10CC9" w:rsidP="00EB2AFF">
            <w:pPr>
              <w:jc w:val="center"/>
              <w:cnfStyle w:val="000000010000"/>
              <w:rPr>
                <w:bCs/>
                <w:sz w:val="20"/>
                <w:szCs w:val="20"/>
              </w:rPr>
            </w:pPr>
            <w:r>
              <w:rPr>
                <w:bCs/>
                <w:sz w:val="20"/>
                <w:szCs w:val="20"/>
              </w:rPr>
              <w:t>81.8</w:t>
            </w:r>
            <w:r w:rsidR="00EB2AFF" w:rsidRPr="00577495">
              <w:rPr>
                <w:bCs/>
                <w:sz w:val="20"/>
                <w:szCs w:val="20"/>
              </w:rPr>
              <w:t>%</w:t>
            </w:r>
          </w:p>
        </w:tc>
      </w:tr>
      <w:tr w:rsidR="00EB2AFF" w:rsidTr="00EB2AFF">
        <w:trPr>
          <w:cnfStyle w:val="000000100000"/>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SEIFI Group 2 (%)</w:t>
            </w:r>
          </w:p>
        </w:tc>
        <w:tc>
          <w:tcPr>
            <w:tcW w:w="1276" w:type="dxa"/>
            <w:tcBorders>
              <w:left w:val="single" w:sz="8" w:space="0" w:color="FFFFFF" w:themeColor="background1"/>
              <w:right w:val="single" w:sz="8" w:space="0" w:color="FFFFFF" w:themeColor="background1"/>
            </w:tcBorders>
            <w:vAlign w:val="center"/>
          </w:tcPr>
          <w:p w:rsidR="00EB2AFF" w:rsidRPr="00577495" w:rsidRDefault="00EB2AFF" w:rsidP="00EB2AFF">
            <w:pPr>
              <w:jc w:val="center"/>
              <w:cnfStyle w:val="000000100000"/>
              <w:rPr>
                <w:sz w:val="20"/>
                <w:szCs w:val="20"/>
              </w:rPr>
            </w:pPr>
            <w:r>
              <w:rPr>
                <w:sz w:val="20"/>
                <w:szCs w:val="20"/>
              </w:rPr>
              <w:t>4</w:t>
            </w:r>
            <w:r w:rsidR="00E10CC9">
              <w:rPr>
                <w:sz w:val="20"/>
                <w:szCs w:val="20"/>
              </w:rPr>
              <w:t>.3</w:t>
            </w:r>
            <w:r w:rsidRPr="00577495">
              <w:rPr>
                <w:sz w:val="20"/>
                <w:szCs w:val="20"/>
              </w:rPr>
              <w:t>%</w:t>
            </w:r>
          </w:p>
        </w:tc>
        <w:tc>
          <w:tcPr>
            <w:tcW w:w="1276" w:type="dxa"/>
            <w:tcBorders>
              <w:left w:val="single" w:sz="8" w:space="0" w:color="FFFFFF" w:themeColor="background1"/>
            </w:tcBorders>
            <w:vAlign w:val="center"/>
          </w:tcPr>
          <w:p w:rsidR="00EB2AFF" w:rsidRPr="00577495" w:rsidRDefault="00E10CC9" w:rsidP="00EB2AFF">
            <w:pPr>
              <w:jc w:val="center"/>
              <w:cnfStyle w:val="000000100000"/>
              <w:rPr>
                <w:bCs/>
                <w:sz w:val="20"/>
                <w:szCs w:val="20"/>
              </w:rPr>
            </w:pPr>
            <w:r>
              <w:rPr>
                <w:bCs/>
                <w:sz w:val="20"/>
                <w:szCs w:val="20"/>
              </w:rPr>
              <w:t>7.8</w:t>
            </w:r>
            <w:r w:rsidR="00EB2AFF" w:rsidRPr="00577495">
              <w:rPr>
                <w:bCs/>
                <w:sz w:val="20"/>
                <w:szCs w:val="20"/>
              </w:rPr>
              <w:t>%</w:t>
            </w:r>
          </w:p>
        </w:tc>
      </w:tr>
      <w:tr w:rsidR="00EB2AFF" w:rsidTr="00EB2AFF">
        <w:trPr>
          <w:cnfStyle w:val="000000010000"/>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SEIFI Group 3 (%)</w:t>
            </w:r>
          </w:p>
        </w:tc>
        <w:tc>
          <w:tcPr>
            <w:tcW w:w="1276" w:type="dxa"/>
            <w:tcBorders>
              <w:left w:val="single" w:sz="8" w:space="0" w:color="FFFFFF" w:themeColor="background1"/>
              <w:right w:val="single" w:sz="8" w:space="0" w:color="FFFFFF" w:themeColor="background1"/>
            </w:tcBorders>
            <w:vAlign w:val="center"/>
          </w:tcPr>
          <w:p w:rsidR="00EB2AFF" w:rsidRPr="00577495" w:rsidRDefault="00E10CC9" w:rsidP="00EB2AFF">
            <w:pPr>
              <w:jc w:val="center"/>
              <w:cnfStyle w:val="000000010000"/>
              <w:rPr>
                <w:sz w:val="20"/>
                <w:szCs w:val="20"/>
              </w:rPr>
            </w:pPr>
            <w:r>
              <w:rPr>
                <w:sz w:val="20"/>
                <w:szCs w:val="20"/>
              </w:rPr>
              <w:t>24.9</w:t>
            </w:r>
            <w:r w:rsidR="00EB2AFF" w:rsidRPr="00577495">
              <w:rPr>
                <w:sz w:val="20"/>
                <w:szCs w:val="20"/>
              </w:rPr>
              <w:t>%</w:t>
            </w:r>
          </w:p>
        </w:tc>
        <w:tc>
          <w:tcPr>
            <w:tcW w:w="1276" w:type="dxa"/>
            <w:tcBorders>
              <w:left w:val="single" w:sz="8" w:space="0" w:color="FFFFFF" w:themeColor="background1"/>
            </w:tcBorders>
            <w:vAlign w:val="center"/>
          </w:tcPr>
          <w:p w:rsidR="00EB2AFF" w:rsidRPr="00577495" w:rsidRDefault="00EB2AFF" w:rsidP="00EB2AFF">
            <w:pPr>
              <w:jc w:val="center"/>
              <w:cnfStyle w:val="000000010000"/>
              <w:rPr>
                <w:bCs/>
                <w:sz w:val="20"/>
                <w:szCs w:val="20"/>
              </w:rPr>
            </w:pPr>
            <w:r>
              <w:rPr>
                <w:bCs/>
                <w:sz w:val="20"/>
                <w:szCs w:val="20"/>
              </w:rPr>
              <w:t>1</w:t>
            </w:r>
            <w:r w:rsidR="00E10CC9">
              <w:rPr>
                <w:bCs/>
                <w:sz w:val="20"/>
                <w:szCs w:val="20"/>
              </w:rPr>
              <w:t>.3</w:t>
            </w:r>
            <w:r w:rsidRPr="00577495">
              <w:rPr>
                <w:bCs/>
                <w:sz w:val="20"/>
                <w:szCs w:val="20"/>
              </w:rPr>
              <w:t>%</w:t>
            </w:r>
          </w:p>
        </w:tc>
      </w:tr>
      <w:tr w:rsidR="00EB2AFF" w:rsidTr="00EB2AFF">
        <w:trPr>
          <w:cnfStyle w:val="000000100000"/>
          <w:trHeight w:val="67"/>
        </w:trPr>
        <w:tc>
          <w:tcPr>
            <w:cnfStyle w:val="001000000000"/>
            <w:tcW w:w="1985" w:type="dxa"/>
            <w:tcBorders>
              <w:bottom w:val="single" w:sz="8" w:space="0" w:color="FFFFFF" w:themeColor="background1"/>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sidRPr="00577495">
              <w:rPr>
                <w:b w:val="0"/>
                <w:bCs w:val="0"/>
                <w:color w:val="FFFFFF" w:themeColor="background1"/>
                <w:sz w:val="20"/>
                <w:szCs w:val="20"/>
              </w:rPr>
              <w:t>SEIFI Group 4 (%)</w:t>
            </w:r>
          </w:p>
        </w:tc>
        <w:tc>
          <w:tcPr>
            <w:tcW w:w="1276" w:type="dxa"/>
            <w:tcBorders>
              <w:left w:val="single" w:sz="8" w:space="0" w:color="FFFFFF" w:themeColor="background1"/>
              <w:bottom w:val="single" w:sz="8" w:space="0" w:color="FFFFFF" w:themeColor="background1"/>
              <w:right w:val="single" w:sz="8" w:space="0" w:color="FFFFFF" w:themeColor="background1"/>
            </w:tcBorders>
            <w:vAlign w:val="center"/>
          </w:tcPr>
          <w:p w:rsidR="00EB2AFF" w:rsidRPr="00577495" w:rsidRDefault="00EB2AFF" w:rsidP="00EB2AFF">
            <w:pPr>
              <w:jc w:val="center"/>
              <w:cnfStyle w:val="000000100000"/>
              <w:rPr>
                <w:sz w:val="20"/>
                <w:szCs w:val="20"/>
              </w:rPr>
            </w:pPr>
            <w:r>
              <w:rPr>
                <w:sz w:val="20"/>
                <w:szCs w:val="20"/>
              </w:rPr>
              <w:t>60</w:t>
            </w:r>
            <w:r w:rsidR="00E10CC9">
              <w:rPr>
                <w:sz w:val="20"/>
                <w:szCs w:val="20"/>
              </w:rPr>
              <w:t>.1</w:t>
            </w:r>
            <w:r w:rsidRPr="00577495">
              <w:rPr>
                <w:sz w:val="20"/>
                <w:szCs w:val="20"/>
              </w:rPr>
              <w:t>%</w:t>
            </w:r>
          </w:p>
        </w:tc>
        <w:tc>
          <w:tcPr>
            <w:tcW w:w="1276" w:type="dxa"/>
            <w:tcBorders>
              <w:left w:val="single" w:sz="8" w:space="0" w:color="FFFFFF" w:themeColor="background1"/>
              <w:bottom w:val="single" w:sz="8" w:space="0" w:color="FFFFFF" w:themeColor="background1"/>
            </w:tcBorders>
            <w:vAlign w:val="center"/>
          </w:tcPr>
          <w:p w:rsidR="00EB2AFF" w:rsidRPr="00577495" w:rsidRDefault="00EB2AFF" w:rsidP="00EB2AFF">
            <w:pPr>
              <w:jc w:val="center"/>
              <w:cnfStyle w:val="000000100000"/>
              <w:rPr>
                <w:bCs/>
                <w:sz w:val="20"/>
                <w:szCs w:val="20"/>
              </w:rPr>
            </w:pPr>
            <w:r>
              <w:rPr>
                <w:bCs/>
                <w:sz w:val="20"/>
                <w:szCs w:val="20"/>
              </w:rPr>
              <w:t>9</w:t>
            </w:r>
            <w:r w:rsidR="00E10CC9">
              <w:rPr>
                <w:bCs/>
                <w:sz w:val="20"/>
                <w:szCs w:val="20"/>
              </w:rPr>
              <w:t>.1</w:t>
            </w:r>
            <w:r w:rsidRPr="00577495">
              <w:rPr>
                <w:bCs/>
                <w:sz w:val="20"/>
                <w:szCs w:val="20"/>
              </w:rPr>
              <w:t>%</w:t>
            </w:r>
          </w:p>
        </w:tc>
      </w:tr>
      <w:tr w:rsidR="00EB2AFF" w:rsidTr="00EB2AFF">
        <w:trPr>
          <w:cnfStyle w:val="000000010000"/>
          <w:trHeight w:val="67"/>
        </w:trPr>
        <w:tc>
          <w:tcPr>
            <w:cnfStyle w:val="001000000000"/>
            <w:tcW w:w="1985" w:type="dxa"/>
            <w:tcBorders>
              <w:right w:val="single" w:sz="8" w:space="0" w:color="FFFFFF" w:themeColor="background1"/>
            </w:tcBorders>
            <w:shd w:val="clear" w:color="auto" w:fill="4BACC6" w:themeFill="accent5"/>
            <w:vAlign w:val="center"/>
          </w:tcPr>
          <w:p w:rsidR="00EB2AFF" w:rsidRPr="00577495" w:rsidRDefault="00EB2AFF" w:rsidP="00EB2AFF">
            <w:pPr>
              <w:jc w:val="center"/>
              <w:rPr>
                <w:b w:val="0"/>
                <w:bCs w:val="0"/>
                <w:color w:val="FFFFFF" w:themeColor="background1"/>
                <w:sz w:val="20"/>
                <w:szCs w:val="20"/>
              </w:rPr>
            </w:pPr>
            <w:r>
              <w:rPr>
                <w:b w:val="0"/>
                <w:bCs w:val="0"/>
                <w:color w:val="FFFFFF" w:themeColor="background1"/>
                <w:sz w:val="20"/>
                <w:szCs w:val="20"/>
              </w:rPr>
              <w:t xml:space="preserve"> No. of CDs</w:t>
            </w:r>
          </w:p>
        </w:tc>
        <w:tc>
          <w:tcPr>
            <w:tcW w:w="1276" w:type="dxa"/>
            <w:tcBorders>
              <w:right w:val="single" w:sz="8" w:space="0" w:color="FFFFFF" w:themeColor="background1"/>
            </w:tcBorders>
            <w:vAlign w:val="center"/>
          </w:tcPr>
          <w:p w:rsidR="00EB2AFF" w:rsidRDefault="00EB2AFF" w:rsidP="00EB2AFF">
            <w:pPr>
              <w:jc w:val="center"/>
              <w:cnfStyle w:val="000000010000"/>
              <w:rPr>
                <w:sz w:val="20"/>
                <w:szCs w:val="20"/>
              </w:rPr>
            </w:pPr>
            <w:r>
              <w:rPr>
                <w:sz w:val="20"/>
                <w:szCs w:val="20"/>
              </w:rPr>
              <w:t>6</w:t>
            </w:r>
          </w:p>
        </w:tc>
        <w:tc>
          <w:tcPr>
            <w:tcW w:w="1276" w:type="dxa"/>
            <w:tcBorders>
              <w:left w:val="single" w:sz="8" w:space="0" w:color="FFFFFF" w:themeColor="background1"/>
              <w:right w:val="single" w:sz="8" w:space="0" w:color="FFFFFF" w:themeColor="background1"/>
            </w:tcBorders>
            <w:vAlign w:val="center"/>
          </w:tcPr>
          <w:p w:rsidR="00EB2AFF" w:rsidRDefault="00EB2AFF" w:rsidP="00D84703">
            <w:pPr>
              <w:cnfStyle w:val="000000010000"/>
              <w:rPr>
                <w:bCs/>
                <w:sz w:val="20"/>
                <w:szCs w:val="20"/>
              </w:rPr>
            </w:pPr>
          </w:p>
        </w:tc>
      </w:tr>
    </w:tbl>
    <w:p w:rsidR="002A3B72" w:rsidRPr="008433F5" w:rsidRDefault="00D67B26" w:rsidP="002A3B72">
      <w:pPr>
        <w:spacing w:before="240" w:after="0"/>
      </w:pPr>
      <w:r w:rsidRPr="00D67B26">
        <w:rPr>
          <w:bCs/>
          <w:noProof/>
          <w:lang w:eastAsia="en-CA"/>
        </w:rPr>
        <w:pict>
          <v:shape id="Text Box 30" o:spid="_x0000_s1043" type="#_x0000_t202" style="position:absolute;margin-left:244.5pt;margin-top:.2pt;width:234.75pt;height:192.55pt;z-index:25165926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6yug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" filled="f" stroked="f">
            <v:textbox style="mso-next-textbox:#Text Box 30">
              <w:txbxContent>
                <w:p w:rsidR="006B6874" w:rsidRPr="00934E0B" w:rsidRDefault="006B6874" w:rsidP="00612C2B">
                  <w:pPr>
                    <w:pStyle w:val="ListParagraph"/>
                    <w:numPr>
                      <w:ilvl w:val="0"/>
                      <w:numId w:val="7"/>
                    </w:numPr>
                    <w:ind w:left="851" w:hanging="851"/>
                    <w:rPr>
                      <w:b/>
                      <w:color w:val="244061" w:themeColor="accent1" w:themeShade="80"/>
                    </w:rPr>
                  </w:pPr>
                  <w:r w:rsidRPr="00934E0B">
                    <w:rPr>
                      <w:b/>
                      <w:color w:val="244061" w:themeColor="accent1" w:themeShade="80"/>
                    </w:rPr>
                    <w:t>SEIFA</w:t>
                  </w:r>
                  <w:r>
                    <w:rPr>
                      <w:b/>
                      <w:color w:val="244061" w:themeColor="accent1" w:themeShade="80"/>
                    </w:rPr>
                    <w:t xml:space="preserve"> IRSD</w:t>
                  </w:r>
                  <w:r w:rsidRPr="00934E0B">
                    <w:rPr>
                      <w:b/>
                      <w:color w:val="244061" w:themeColor="accent1" w:themeShade="80"/>
                    </w:rPr>
                    <w:t xml:space="preserve"> and SEIFI </w:t>
                  </w:r>
                  <w:r>
                    <w:rPr>
                      <w:b/>
                      <w:color w:val="244061" w:themeColor="accent1" w:themeShade="80"/>
                    </w:rPr>
                    <w:t xml:space="preserve">IRSD </w:t>
                  </w:r>
                  <w:r w:rsidRPr="00934E0B">
                    <w:rPr>
                      <w:b/>
                      <w:color w:val="244061" w:themeColor="accent1" w:themeShade="80"/>
                    </w:rPr>
                    <w:t xml:space="preserve">data, </w:t>
                  </w:r>
                  <w:r>
                    <w:rPr>
                      <w:b/>
                      <w:color w:val="244061" w:themeColor="accent1" w:themeShade="80"/>
                    </w:rPr>
                    <w:t>Suburb of Kingston and Kingston CD 8014302</w:t>
                  </w:r>
                  <w:r w:rsidRPr="00934E0B">
                    <w:rPr>
                      <w:b/>
                      <w:color w:val="244061" w:themeColor="accent1" w:themeShade="80"/>
                    </w:rPr>
                    <w:t xml:space="preserve"> </w:t>
                  </w:r>
                </w:p>
              </w:txbxContent>
            </v:textbox>
            <w10:wrap type="square"/>
          </v:shape>
        </w:pict>
      </w:r>
      <w:r w:rsidR="002A3B72" w:rsidRPr="008433F5">
        <w:t xml:space="preserve">At the suburb level, Kingston has a SEIFA </w:t>
      </w:r>
      <w:r w:rsidR="00154363">
        <w:t xml:space="preserve">IRSD </w:t>
      </w:r>
      <w:proofErr w:type="spellStart"/>
      <w:r w:rsidR="002A3B72" w:rsidRPr="008433F5">
        <w:t>decile</w:t>
      </w:r>
      <w:proofErr w:type="spellEnd"/>
      <w:r w:rsidR="002A3B72" w:rsidRPr="008433F5">
        <w:t xml:space="preserve"> score of 10 and falls into the 96</w:t>
      </w:r>
      <w:r w:rsidR="002A3B72" w:rsidRPr="008433F5">
        <w:rPr>
          <w:vertAlign w:val="superscript"/>
        </w:rPr>
        <w:t>th</w:t>
      </w:r>
      <w:r w:rsidR="002A3B72" w:rsidRPr="008433F5">
        <w:t xml:space="preserve"> </w:t>
      </w:r>
      <w:proofErr w:type="spellStart"/>
      <w:r w:rsidR="002A3B72" w:rsidRPr="008433F5">
        <w:t>decile</w:t>
      </w:r>
      <w:proofErr w:type="spellEnd"/>
      <w:r w:rsidR="002A3B72" w:rsidRPr="008433F5">
        <w:t xml:space="preserve"> across Australia, indicating that the area experiences little to no socio-economic disadvantage. According to SEIFI </w:t>
      </w:r>
      <w:r w:rsidR="00154363">
        <w:t>IRSD</w:t>
      </w:r>
      <w:r w:rsidR="00154363" w:rsidRPr="008433F5">
        <w:t xml:space="preserve"> </w:t>
      </w:r>
      <w:r w:rsidR="002A3B72" w:rsidRPr="008433F5">
        <w:t>data, 60</w:t>
      </w:r>
      <w:r w:rsidR="002A3B72">
        <w:t>.1</w:t>
      </w:r>
      <w:r w:rsidR="002A3B72" w:rsidRPr="008433F5">
        <w:t xml:space="preserve">% of Kingston residents </w:t>
      </w:r>
      <w:r w:rsidR="00C24894">
        <w:t xml:space="preserve">aged 15-64 </w:t>
      </w:r>
      <w:r w:rsidR="002A3B72" w:rsidRPr="008433F5">
        <w:t>fall into the least disadvantaged group of Australians</w:t>
      </w:r>
      <w:r w:rsidR="002A3B72">
        <w:t>,</w:t>
      </w:r>
      <w:r w:rsidR="002A3B72" w:rsidRPr="008433F5">
        <w:t xml:space="preserve"> and the proportion of individuals who fall into the more disadvantaged groups are</w:t>
      </w:r>
      <w:r w:rsidR="002A3B72">
        <w:t xml:space="preserve"> all</w:t>
      </w:r>
      <w:r w:rsidR="002A3B72" w:rsidRPr="008433F5">
        <w:t xml:space="preserve"> well below average</w:t>
      </w:r>
      <w:r w:rsidR="00154363">
        <w:t xml:space="preserve"> when aggregated to the suburb level</w:t>
      </w:r>
      <w:r w:rsidR="002A3B72" w:rsidRPr="008433F5">
        <w:t>.</w:t>
      </w:r>
    </w:p>
    <w:p w:rsidR="002A3B72" w:rsidRDefault="002A3B72" w:rsidP="002A3B72">
      <w:pPr>
        <w:spacing w:after="0"/>
      </w:pPr>
    </w:p>
    <w:p w:rsidR="002A3B72" w:rsidRDefault="00D67B26" w:rsidP="002A3B72">
      <w:r w:rsidRPr="00D67B26">
        <w:rPr>
          <w:bCs/>
          <w:noProof/>
          <w:lang w:val="en-AU" w:eastAsia="en-AU"/>
        </w:rPr>
        <w:pict>
          <v:shape id="_x0000_s1060" type="#_x0000_t202" style="position:absolute;margin-left:261.3pt;margin-top:18.1pt;width:196.2pt;height:13.5pt;z-index:2517237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60" inset="0,0,0,0">
              <w:txbxContent>
                <w:p w:rsidR="006B6874" w:rsidRPr="003610C9" w:rsidRDefault="006B6874" w:rsidP="002A3B72">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txbxContent>
            </v:textbox>
          </v:shape>
        </w:pict>
      </w:r>
      <w:r w:rsidR="002A3B72">
        <w:rPr>
          <w:rStyle w:val="Strong"/>
          <w:b w:val="0"/>
        </w:rPr>
        <w:t>Of the Kingston population aged 15 and over, 74.0% participate in the labour force, 2.9% are unemployed and seeking employment, and only 10.2% earn less than $400 per week in income. The median weekly rent in Kingston is $325 and total of 833 dwellings are currently being rented, of which 75 public housing units being rented through the Territory housing authority</w:t>
      </w:r>
      <w:r w:rsidR="005C08AA">
        <w:rPr>
          <w:rStyle w:val="Strong"/>
          <w:b w:val="0"/>
          <w:vertAlign w:val="superscript"/>
        </w:rPr>
        <w:t>12</w:t>
      </w:r>
      <w:r w:rsidR="002A3B72">
        <w:rPr>
          <w:rStyle w:val="Strong"/>
          <w:b w:val="0"/>
        </w:rPr>
        <w:t>.</w:t>
      </w:r>
    </w:p>
    <w:p w:rsidR="002A3B72" w:rsidRPr="008433F5" w:rsidRDefault="002A3B72" w:rsidP="002A3B72">
      <w:r w:rsidRPr="008433F5">
        <w:t xml:space="preserve">At the collection district level, five out of six Kingston collection districts also have SEIFA </w:t>
      </w:r>
      <w:r w:rsidR="005C08AA">
        <w:t>IRSD</w:t>
      </w:r>
      <w:r w:rsidR="005C08AA" w:rsidRPr="008433F5">
        <w:t xml:space="preserve"> </w:t>
      </w:r>
      <w:r w:rsidRPr="008433F5">
        <w:t>scores of 10 and Group 4 proportions of between 5</w:t>
      </w:r>
      <w:r>
        <w:t>6.9</w:t>
      </w:r>
      <w:r w:rsidRPr="008433F5">
        <w:t>% and 7</w:t>
      </w:r>
      <w:r>
        <w:t>0.6</w:t>
      </w:r>
      <w:r w:rsidRPr="008433F5">
        <w:t xml:space="preserve">%. Although the proportion </w:t>
      </w:r>
      <w:r w:rsidR="005C08AA">
        <w:t>of Kingston residents</w:t>
      </w:r>
      <w:r w:rsidRPr="008433F5">
        <w:t xml:space="preserve"> </w:t>
      </w:r>
      <w:r w:rsidR="00C24894">
        <w:t xml:space="preserve">aged 15-64 </w:t>
      </w:r>
      <w:r w:rsidRPr="008433F5">
        <w:t>who fall int</w:t>
      </w:r>
      <w:r>
        <w:t xml:space="preserve">o the remaining Groups is small, </w:t>
      </w:r>
      <w:r w:rsidRPr="008433F5">
        <w:t xml:space="preserve">a total of 779 residents aged 15-64 from these five collection districts experience a degree of socio-economic disadvantage </w:t>
      </w:r>
      <w:r w:rsidR="005C08AA">
        <w:t>that is greater than</w:t>
      </w:r>
      <w:r w:rsidRPr="008433F5">
        <w:t xml:space="preserve"> the CD- or suburb-level SEIFA</w:t>
      </w:r>
      <w:r w:rsidR="005C08AA">
        <w:t xml:space="preserve"> IRSD</w:t>
      </w:r>
      <w:r w:rsidRPr="008433F5">
        <w:t xml:space="preserve"> scores used to describe them. </w:t>
      </w:r>
    </w:p>
    <w:p w:rsidR="00590738" w:rsidRDefault="002A3B72" w:rsidP="002615F5">
      <w:pPr>
        <w:spacing w:before="240" w:after="0"/>
      </w:pPr>
      <w:r w:rsidRPr="00C67068">
        <w:t>In stark contrast, 8</w:t>
      </w:r>
      <w:r>
        <w:t>1.8</w:t>
      </w:r>
      <w:r w:rsidRPr="00C67068">
        <w:t xml:space="preserve">% of the residents </w:t>
      </w:r>
      <w:r w:rsidR="00C24894">
        <w:t xml:space="preserve">aged 15-64 </w:t>
      </w:r>
      <w:r w:rsidRPr="00C67068">
        <w:t xml:space="preserve">in the </w:t>
      </w:r>
      <w:r w:rsidR="005C08AA">
        <w:t>remaining</w:t>
      </w:r>
      <w:r w:rsidRPr="00C67068">
        <w:t xml:space="preserve"> collection district, Kingston 8014302, fall into Group 1, the most disadvantaged </w:t>
      </w:r>
      <w:r w:rsidR="00C24894">
        <w:t>cohort</w:t>
      </w:r>
      <w:r w:rsidRPr="00C67068">
        <w:t xml:space="preserve">. Kingston 8014302 has a usual resident population of 129 people, 64 of whom are 15-64 year olds experiencing the highest levels of </w:t>
      </w:r>
      <w:r w:rsidR="005C08AA">
        <w:t xml:space="preserve">relative </w:t>
      </w:r>
      <w:r w:rsidRPr="00C67068">
        <w:t xml:space="preserve">socio-economic disadvantage. This number is more than 20% greater than the number of Group 1 individuals found in any of the neighbouring Kingston collection districts. Although the SEIFA </w:t>
      </w:r>
      <w:r w:rsidR="005C08AA">
        <w:t>IRSD</w:t>
      </w:r>
      <w:r w:rsidR="005C08AA" w:rsidRPr="00C67068">
        <w:t xml:space="preserve"> </w:t>
      </w:r>
      <w:r w:rsidRPr="00C67068">
        <w:t>score of Kingston 8014302 is 1, this divergence from the distribution of disadvantage observed in the other Kingston CDs is completely masked when SEIFA is analysed at the suburb level.</w:t>
      </w:r>
    </w:p>
    <w:p w:rsidR="002615F5" w:rsidRPr="008230AD" w:rsidRDefault="00590738" w:rsidP="008230AD">
      <w:pPr>
        <w:pStyle w:val="Heading4"/>
      </w:pPr>
      <w:bookmarkStart w:id="33" w:name="_Toc358033200"/>
      <w:r w:rsidRPr="008230AD">
        <w:t>Torrens</w:t>
      </w:r>
      <w:bookmarkEnd w:id="33"/>
    </w:p>
    <w:p w:rsidR="002615F5" w:rsidRDefault="002615F5" w:rsidP="002615F5">
      <w:r w:rsidRPr="005E6EFB">
        <w:t xml:space="preserve">In the suburb of Torrens in </w:t>
      </w:r>
      <w:proofErr w:type="spellStart"/>
      <w:r w:rsidRPr="005E6EFB">
        <w:t>Woden</w:t>
      </w:r>
      <w:proofErr w:type="spellEnd"/>
      <w:r w:rsidRPr="005E6EFB">
        <w:t xml:space="preserve">, </w:t>
      </w:r>
      <w:r>
        <w:rPr>
          <w:rStyle w:val="Strong"/>
          <w:b w:val="0"/>
        </w:rPr>
        <w:t>64.5% of the population aged 15 and over participates in the labour force, while 3.5% are unemployed, and 27.7% earn less than $400 per week in income. A total of 236 dwellings in Torrens are currently rented at a median weekly rent of $260, including 62 public housing units being rented through Housing and Community Services ACT</w:t>
      </w:r>
      <w:r w:rsidR="0005011C" w:rsidRPr="001D038A">
        <w:rPr>
          <w:vertAlign w:val="superscript"/>
        </w:rPr>
        <w:t>1</w:t>
      </w:r>
      <w:r w:rsidR="005C08AA">
        <w:rPr>
          <w:vertAlign w:val="superscript"/>
        </w:rPr>
        <w:t>3</w:t>
      </w:r>
      <w:r>
        <w:rPr>
          <w:rStyle w:val="Strong"/>
          <w:b w:val="0"/>
        </w:rPr>
        <w:t>.</w:t>
      </w:r>
    </w:p>
    <w:p w:rsidR="002615F5" w:rsidRDefault="002615F5" w:rsidP="002615F5">
      <w:r w:rsidRPr="005E6EFB">
        <w:t>Torrens 8020701 is also the only collection district</w:t>
      </w:r>
      <w:r>
        <w:t xml:space="preserve"> in its </w:t>
      </w:r>
      <w:r w:rsidR="00BE29B6">
        <w:t xml:space="preserve">suburb </w:t>
      </w:r>
      <w:r w:rsidR="00BE29B6" w:rsidRPr="005E6EFB">
        <w:t>to</w:t>
      </w:r>
      <w:r w:rsidRPr="005E6EFB">
        <w:t xml:space="preserve"> have an above average proportion of residents </w:t>
      </w:r>
      <w:r w:rsidR="00021DAA">
        <w:t xml:space="preserve">aged 15-64 </w:t>
      </w:r>
      <w:r w:rsidRPr="005E6EFB">
        <w:t>in Group 1, in addition to having an above average proportion of individuals in Group 4</w:t>
      </w:r>
      <w:r w:rsidRPr="0093408A">
        <w:t xml:space="preserve">. </w:t>
      </w:r>
      <w:r w:rsidR="009900CC">
        <w:t>The remaining CDs in Torrens have SEIFA IRSD scores of between 8 and 10, and when</w:t>
      </w:r>
      <w:r w:rsidRPr="0093408A">
        <w:t xml:space="preserve"> the </w:t>
      </w:r>
      <w:r w:rsidRPr="0093408A">
        <w:lastRenderedPageBreak/>
        <w:t xml:space="preserve">suburb level SEIFA </w:t>
      </w:r>
      <w:r w:rsidR="009900CC">
        <w:t xml:space="preserve">IRSD </w:t>
      </w:r>
      <w:r w:rsidRPr="0093408A">
        <w:t xml:space="preserve">score of 9 is applied </w:t>
      </w:r>
      <w:r w:rsidR="009900CC">
        <w:t xml:space="preserve">as a proxy </w:t>
      </w:r>
      <w:r w:rsidRPr="0093408A">
        <w:t>to this collection district, 190 individuals</w:t>
      </w:r>
      <w:r w:rsidR="00021DAA">
        <w:t xml:space="preserve"> aged 15-64 </w:t>
      </w:r>
      <w:r w:rsidRPr="0093408A">
        <w:t xml:space="preserve">experiencing greater relative socio-economic disadvantage are hidden, </w:t>
      </w:r>
      <w:r w:rsidR="009900CC">
        <w:t xml:space="preserve">including </w:t>
      </w:r>
      <w:r w:rsidRPr="0093408A">
        <w:t xml:space="preserve"> 93 individuals </w:t>
      </w:r>
      <w:r w:rsidR="009900CC">
        <w:t>in</w:t>
      </w:r>
      <w:r w:rsidRPr="0093408A">
        <w:t xml:space="preserve"> the most disadvantaged quintile across Australia. </w:t>
      </w:r>
    </w:p>
    <w:tbl>
      <w:tblPr>
        <w:tblStyle w:val="MediumShading1-Accent5"/>
        <w:tblpPr w:leftFromText="180" w:rightFromText="180" w:vertAnchor="text" w:horzAnchor="margin" w:tblpY="98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985"/>
        <w:gridCol w:w="1276"/>
        <w:gridCol w:w="1276"/>
      </w:tblGrid>
      <w:tr w:rsidR="002615F5" w:rsidTr="00233E8A">
        <w:trPr>
          <w:cnfStyle w:val="100000000000"/>
          <w:trHeight w:val="607"/>
        </w:trPr>
        <w:tc>
          <w:tcPr>
            <w:cnfStyle w:val="001000000000"/>
            <w:tcW w:w="1985" w:type="dxa"/>
            <w:tcBorders>
              <w:top w:val="nil"/>
              <w:left w:val="nil"/>
              <w:right w:val="single" w:sz="8" w:space="0" w:color="FFFFFF" w:themeColor="background1"/>
            </w:tcBorders>
            <w:shd w:val="clear" w:color="auto" w:fill="auto"/>
          </w:tcPr>
          <w:p w:rsidR="002615F5" w:rsidRPr="00577495" w:rsidRDefault="002615F5" w:rsidP="00233E8A">
            <w:pPr>
              <w:jc w:val="center"/>
              <w:rPr>
                <w:sz w:val="20"/>
                <w:szCs w:val="20"/>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15F5" w:rsidRPr="00577495" w:rsidRDefault="002615F5" w:rsidP="00233E8A">
            <w:pPr>
              <w:spacing w:before="40" w:after="40"/>
              <w:jc w:val="center"/>
              <w:cnfStyle w:val="100000000000"/>
              <w:rPr>
                <w:b w:val="0"/>
                <w:bCs w:val="0"/>
                <w:sz w:val="20"/>
                <w:szCs w:val="20"/>
              </w:rPr>
            </w:pPr>
            <w:r>
              <w:rPr>
                <w:b w:val="0"/>
                <w:bCs w:val="0"/>
                <w:sz w:val="20"/>
                <w:szCs w:val="20"/>
              </w:rPr>
              <w:t>Suburb of Torrens</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15F5" w:rsidRPr="00577495" w:rsidRDefault="002615F5" w:rsidP="00233E8A">
            <w:pPr>
              <w:spacing w:before="40" w:after="40"/>
              <w:jc w:val="center"/>
              <w:cnfStyle w:val="100000000000"/>
              <w:rPr>
                <w:b w:val="0"/>
                <w:bCs w:val="0"/>
                <w:sz w:val="20"/>
                <w:szCs w:val="20"/>
              </w:rPr>
            </w:pPr>
            <w:r>
              <w:rPr>
                <w:b w:val="0"/>
                <w:bCs w:val="0"/>
                <w:sz w:val="20"/>
                <w:szCs w:val="20"/>
              </w:rPr>
              <w:t>Torrens CD 8020701</w:t>
            </w:r>
          </w:p>
        </w:tc>
      </w:tr>
      <w:tr w:rsidR="002615F5" w:rsidTr="00233E8A">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 xml:space="preserve">SEIFA </w:t>
            </w:r>
            <w:proofErr w:type="spellStart"/>
            <w:r w:rsidRPr="00577495">
              <w:rPr>
                <w:b w:val="0"/>
                <w:bCs w:val="0"/>
                <w:color w:val="FFFFFF" w:themeColor="background1"/>
                <w:sz w:val="20"/>
                <w:szCs w:val="20"/>
              </w:rPr>
              <w:t>decile</w:t>
            </w:r>
            <w:proofErr w:type="spellEnd"/>
            <w:r w:rsidRPr="00577495">
              <w:rPr>
                <w:b w:val="0"/>
                <w:bCs w:val="0"/>
                <w:color w:val="FFFFFF" w:themeColor="background1"/>
                <w:sz w:val="20"/>
                <w:szCs w:val="20"/>
              </w:rPr>
              <w:t xml:space="preserve"> score</w:t>
            </w:r>
          </w:p>
        </w:tc>
        <w:tc>
          <w:tcPr>
            <w:tcW w:w="1276" w:type="dxa"/>
            <w:tcBorders>
              <w:left w:val="single" w:sz="8" w:space="0" w:color="FFFFFF" w:themeColor="background1"/>
              <w:right w:val="single" w:sz="8" w:space="0" w:color="FFFFFF" w:themeColor="background1"/>
            </w:tcBorders>
            <w:vAlign w:val="center"/>
          </w:tcPr>
          <w:p w:rsidR="002615F5" w:rsidRPr="00577495" w:rsidRDefault="002615F5" w:rsidP="00233E8A">
            <w:pPr>
              <w:jc w:val="center"/>
              <w:cnfStyle w:val="000000100000"/>
              <w:rPr>
                <w:sz w:val="20"/>
                <w:szCs w:val="20"/>
              </w:rPr>
            </w:pPr>
            <w:r>
              <w:rPr>
                <w:sz w:val="20"/>
                <w:szCs w:val="20"/>
              </w:rPr>
              <w:t>9</w:t>
            </w:r>
          </w:p>
        </w:tc>
        <w:tc>
          <w:tcPr>
            <w:tcW w:w="1276" w:type="dxa"/>
            <w:tcBorders>
              <w:left w:val="single" w:sz="8" w:space="0" w:color="FFFFFF" w:themeColor="background1"/>
            </w:tcBorders>
            <w:vAlign w:val="center"/>
          </w:tcPr>
          <w:p w:rsidR="002615F5" w:rsidRPr="00577495" w:rsidRDefault="00B64EF5" w:rsidP="00233E8A">
            <w:pPr>
              <w:jc w:val="center"/>
              <w:cnfStyle w:val="000000100000"/>
              <w:rPr>
                <w:bCs/>
                <w:sz w:val="20"/>
                <w:szCs w:val="20"/>
              </w:rPr>
            </w:pPr>
            <w:r>
              <w:rPr>
                <w:bCs/>
                <w:sz w:val="20"/>
                <w:szCs w:val="20"/>
              </w:rPr>
              <w:t>4</w:t>
            </w:r>
          </w:p>
        </w:tc>
      </w:tr>
      <w:tr w:rsidR="002615F5" w:rsidTr="00233E8A">
        <w:trPr>
          <w:cnfStyle w:val="000000010000"/>
          <w:trHeight w:val="251"/>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Usual Resident Pop.</w:t>
            </w:r>
          </w:p>
        </w:tc>
        <w:tc>
          <w:tcPr>
            <w:tcW w:w="1276" w:type="dxa"/>
            <w:tcBorders>
              <w:left w:val="single" w:sz="8" w:space="0" w:color="FFFFFF" w:themeColor="background1"/>
              <w:right w:val="single" w:sz="8" w:space="0" w:color="FFFFFF" w:themeColor="background1"/>
            </w:tcBorders>
            <w:vAlign w:val="center"/>
          </w:tcPr>
          <w:p w:rsidR="002615F5" w:rsidRPr="00577495" w:rsidRDefault="002615F5" w:rsidP="00233E8A">
            <w:pPr>
              <w:jc w:val="center"/>
              <w:cnfStyle w:val="000000010000"/>
              <w:rPr>
                <w:sz w:val="20"/>
                <w:szCs w:val="20"/>
              </w:rPr>
            </w:pPr>
            <w:r>
              <w:rPr>
                <w:sz w:val="20"/>
                <w:szCs w:val="20"/>
              </w:rPr>
              <w:t>2,266</w:t>
            </w:r>
          </w:p>
        </w:tc>
        <w:tc>
          <w:tcPr>
            <w:tcW w:w="1276" w:type="dxa"/>
            <w:tcBorders>
              <w:left w:val="single" w:sz="8" w:space="0" w:color="FFFFFF" w:themeColor="background1"/>
            </w:tcBorders>
            <w:vAlign w:val="center"/>
          </w:tcPr>
          <w:p w:rsidR="002615F5" w:rsidRPr="00577495" w:rsidRDefault="002615F5" w:rsidP="00233E8A">
            <w:pPr>
              <w:jc w:val="center"/>
              <w:cnfStyle w:val="000000010000"/>
              <w:rPr>
                <w:bCs/>
                <w:sz w:val="20"/>
                <w:szCs w:val="20"/>
              </w:rPr>
            </w:pPr>
            <w:r>
              <w:rPr>
                <w:bCs/>
                <w:sz w:val="20"/>
                <w:szCs w:val="20"/>
              </w:rPr>
              <w:t>458</w:t>
            </w:r>
          </w:p>
        </w:tc>
      </w:tr>
      <w:tr w:rsidR="002615F5" w:rsidTr="00233E8A">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15 to 64 Aged Pop.</w:t>
            </w:r>
          </w:p>
        </w:tc>
        <w:tc>
          <w:tcPr>
            <w:tcW w:w="1276" w:type="dxa"/>
            <w:tcBorders>
              <w:left w:val="single" w:sz="8" w:space="0" w:color="FFFFFF" w:themeColor="background1"/>
              <w:right w:val="single" w:sz="8" w:space="0" w:color="FFFFFF" w:themeColor="background1"/>
            </w:tcBorders>
            <w:vAlign w:val="center"/>
          </w:tcPr>
          <w:p w:rsidR="002615F5" w:rsidRPr="00577495" w:rsidRDefault="002615F5" w:rsidP="00233E8A">
            <w:pPr>
              <w:jc w:val="center"/>
              <w:cnfStyle w:val="000000100000"/>
              <w:rPr>
                <w:sz w:val="20"/>
                <w:szCs w:val="20"/>
              </w:rPr>
            </w:pPr>
            <w:r>
              <w:rPr>
                <w:sz w:val="20"/>
                <w:szCs w:val="20"/>
              </w:rPr>
              <w:t>1,493</w:t>
            </w:r>
          </w:p>
        </w:tc>
        <w:tc>
          <w:tcPr>
            <w:tcW w:w="1276" w:type="dxa"/>
            <w:tcBorders>
              <w:left w:val="single" w:sz="8" w:space="0" w:color="FFFFFF" w:themeColor="background1"/>
            </w:tcBorders>
            <w:vAlign w:val="center"/>
          </w:tcPr>
          <w:p w:rsidR="002615F5" w:rsidRPr="00577495" w:rsidRDefault="002615F5" w:rsidP="00233E8A">
            <w:pPr>
              <w:jc w:val="center"/>
              <w:cnfStyle w:val="000000100000"/>
              <w:rPr>
                <w:bCs/>
                <w:sz w:val="20"/>
                <w:szCs w:val="20"/>
              </w:rPr>
            </w:pPr>
            <w:r>
              <w:rPr>
                <w:bCs/>
                <w:sz w:val="20"/>
                <w:szCs w:val="20"/>
              </w:rPr>
              <w:t>309</w:t>
            </w:r>
          </w:p>
        </w:tc>
      </w:tr>
      <w:tr w:rsidR="002615F5" w:rsidTr="00233E8A">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SEIFI Group 1 (%)</w:t>
            </w:r>
          </w:p>
        </w:tc>
        <w:tc>
          <w:tcPr>
            <w:tcW w:w="1276" w:type="dxa"/>
            <w:tcBorders>
              <w:left w:val="single" w:sz="8" w:space="0" w:color="FFFFFF" w:themeColor="background1"/>
              <w:right w:val="single" w:sz="8" w:space="0" w:color="FFFFFF" w:themeColor="background1"/>
            </w:tcBorders>
            <w:vAlign w:val="center"/>
          </w:tcPr>
          <w:p w:rsidR="002615F5" w:rsidRPr="00577495" w:rsidRDefault="002615F5" w:rsidP="00233E8A">
            <w:pPr>
              <w:jc w:val="center"/>
              <w:cnfStyle w:val="000000010000"/>
              <w:rPr>
                <w:sz w:val="20"/>
                <w:szCs w:val="20"/>
              </w:rPr>
            </w:pPr>
            <w:r>
              <w:rPr>
                <w:sz w:val="20"/>
                <w:szCs w:val="20"/>
              </w:rPr>
              <w:t>13</w:t>
            </w:r>
            <w:r w:rsidR="00D974AF">
              <w:rPr>
                <w:sz w:val="20"/>
                <w:szCs w:val="20"/>
              </w:rPr>
              <w:t>.0</w:t>
            </w:r>
            <w:r w:rsidRPr="00577495">
              <w:rPr>
                <w:sz w:val="20"/>
                <w:szCs w:val="20"/>
              </w:rPr>
              <w:t>%</w:t>
            </w:r>
          </w:p>
        </w:tc>
        <w:tc>
          <w:tcPr>
            <w:tcW w:w="1276" w:type="dxa"/>
            <w:tcBorders>
              <w:left w:val="single" w:sz="8" w:space="0" w:color="FFFFFF" w:themeColor="background1"/>
            </w:tcBorders>
            <w:vAlign w:val="center"/>
          </w:tcPr>
          <w:p w:rsidR="002615F5" w:rsidRPr="00577495" w:rsidRDefault="002615F5" w:rsidP="00233E8A">
            <w:pPr>
              <w:jc w:val="center"/>
              <w:cnfStyle w:val="000000010000"/>
              <w:rPr>
                <w:bCs/>
                <w:sz w:val="20"/>
                <w:szCs w:val="20"/>
              </w:rPr>
            </w:pPr>
            <w:r>
              <w:rPr>
                <w:bCs/>
                <w:sz w:val="20"/>
                <w:szCs w:val="20"/>
              </w:rPr>
              <w:t>30</w:t>
            </w:r>
            <w:r w:rsidR="00D974AF">
              <w:rPr>
                <w:bCs/>
                <w:sz w:val="20"/>
                <w:szCs w:val="20"/>
              </w:rPr>
              <w:t>.0</w:t>
            </w:r>
            <w:r w:rsidRPr="00577495">
              <w:rPr>
                <w:bCs/>
                <w:sz w:val="20"/>
                <w:szCs w:val="20"/>
              </w:rPr>
              <w:t>%</w:t>
            </w:r>
          </w:p>
        </w:tc>
      </w:tr>
      <w:tr w:rsidR="002615F5" w:rsidTr="00233E8A">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SEIFI Group 2 (%)</w:t>
            </w:r>
          </w:p>
        </w:tc>
        <w:tc>
          <w:tcPr>
            <w:tcW w:w="1276" w:type="dxa"/>
            <w:tcBorders>
              <w:left w:val="single" w:sz="8" w:space="0" w:color="FFFFFF" w:themeColor="background1"/>
              <w:right w:val="single" w:sz="8" w:space="0" w:color="FFFFFF" w:themeColor="background1"/>
            </w:tcBorders>
            <w:vAlign w:val="center"/>
          </w:tcPr>
          <w:p w:rsidR="002615F5" w:rsidRPr="00577495" w:rsidRDefault="002615F5" w:rsidP="00233E8A">
            <w:pPr>
              <w:jc w:val="center"/>
              <w:cnfStyle w:val="000000100000"/>
              <w:rPr>
                <w:sz w:val="20"/>
                <w:szCs w:val="20"/>
              </w:rPr>
            </w:pPr>
            <w:r>
              <w:rPr>
                <w:sz w:val="20"/>
                <w:szCs w:val="20"/>
              </w:rPr>
              <w:t>8</w:t>
            </w:r>
            <w:r w:rsidR="00D974AF">
              <w:rPr>
                <w:sz w:val="20"/>
                <w:szCs w:val="20"/>
              </w:rPr>
              <w:t>.2</w:t>
            </w:r>
            <w:r w:rsidRPr="00577495">
              <w:rPr>
                <w:sz w:val="20"/>
                <w:szCs w:val="20"/>
              </w:rPr>
              <w:t>%</w:t>
            </w:r>
          </w:p>
        </w:tc>
        <w:tc>
          <w:tcPr>
            <w:tcW w:w="1276" w:type="dxa"/>
            <w:tcBorders>
              <w:left w:val="single" w:sz="8" w:space="0" w:color="FFFFFF" w:themeColor="background1"/>
            </w:tcBorders>
            <w:vAlign w:val="center"/>
          </w:tcPr>
          <w:p w:rsidR="002615F5" w:rsidRPr="00577495" w:rsidRDefault="002615F5" w:rsidP="00233E8A">
            <w:pPr>
              <w:jc w:val="center"/>
              <w:cnfStyle w:val="000000100000"/>
              <w:rPr>
                <w:bCs/>
                <w:sz w:val="20"/>
                <w:szCs w:val="20"/>
              </w:rPr>
            </w:pPr>
            <w:r>
              <w:rPr>
                <w:bCs/>
                <w:sz w:val="20"/>
                <w:szCs w:val="20"/>
              </w:rPr>
              <w:t>10</w:t>
            </w:r>
            <w:r w:rsidR="00D974AF">
              <w:rPr>
                <w:bCs/>
                <w:sz w:val="20"/>
                <w:szCs w:val="20"/>
              </w:rPr>
              <w:t>.3</w:t>
            </w:r>
            <w:r w:rsidRPr="00577495">
              <w:rPr>
                <w:bCs/>
                <w:sz w:val="20"/>
                <w:szCs w:val="20"/>
              </w:rPr>
              <w:t>%</w:t>
            </w:r>
          </w:p>
        </w:tc>
      </w:tr>
      <w:tr w:rsidR="002615F5" w:rsidTr="00233E8A">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SEIFI Group 3 (%)</w:t>
            </w:r>
          </w:p>
        </w:tc>
        <w:tc>
          <w:tcPr>
            <w:tcW w:w="1276" w:type="dxa"/>
            <w:tcBorders>
              <w:left w:val="single" w:sz="8" w:space="0" w:color="FFFFFF" w:themeColor="background1"/>
              <w:right w:val="single" w:sz="8" w:space="0" w:color="FFFFFF" w:themeColor="background1"/>
            </w:tcBorders>
            <w:vAlign w:val="center"/>
          </w:tcPr>
          <w:p w:rsidR="002615F5" w:rsidRPr="00577495" w:rsidRDefault="002615F5" w:rsidP="00233E8A">
            <w:pPr>
              <w:jc w:val="center"/>
              <w:cnfStyle w:val="000000010000"/>
              <w:rPr>
                <w:sz w:val="20"/>
                <w:szCs w:val="20"/>
              </w:rPr>
            </w:pPr>
            <w:r>
              <w:rPr>
                <w:sz w:val="20"/>
                <w:szCs w:val="20"/>
              </w:rPr>
              <w:t>31</w:t>
            </w:r>
            <w:r w:rsidR="00D974AF">
              <w:rPr>
                <w:sz w:val="20"/>
                <w:szCs w:val="20"/>
              </w:rPr>
              <w:t>.2</w:t>
            </w:r>
            <w:r w:rsidRPr="00577495">
              <w:rPr>
                <w:sz w:val="20"/>
                <w:szCs w:val="20"/>
              </w:rPr>
              <w:t>%</w:t>
            </w:r>
          </w:p>
        </w:tc>
        <w:tc>
          <w:tcPr>
            <w:tcW w:w="1276" w:type="dxa"/>
            <w:tcBorders>
              <w:left w:val="single" w:sz="8" w:space="0" w:color="FFFFFF" w:themeColor="background1"/>
            </w:tcBorders>
            <w:vAlign w:val="center"/>
          </w:tcPr>
          <w:p w:rsidR="002615F5" w:rsidRPr="00577495" w:rsidRDefault="002615F5" w:rsidP="00233E8A">
            <w:pPr>
              <w:jc w:val="center"/>
              <w:cnfStyle w:val="000000010000"/>
              <w:rPr>
                <w:bCs/>
                <w:sz w:val="20"/>
                <w:szCs w:val="20"/>
              </w:rPr>
            </w:pPr>
            <w:r>
              <w:rPr>
                <w:bCs/>
                <w:sz w:val="20"/>
                <w:szCs w:val="20"/>
              </w:rPr>
              <w:t>21</w:t>
            </w:r>
            <w:r w:rsidR="00D974AF">
              <w:rPr>
                <w:bCs/>
                <w:sz w:val="20"/>
                <w:szCs w:val="20"/>
              </w:rPr>
              <w:t>.3</w:t>
            </w:r>
            <w:r w:rsidRPr="00577495">
              <w:rPr>
                <w:bCs/>
                <w:sz w:val="20"/>
                <w:szCs w:val="20"/>
              </w:rPr>
              <w:t>%</w:t>
            </w:r>
          </w:p>
        </w:tc>
      </w:tr>
      <w:tr w:rsidR="002615F5" w:rsidTr="00233E8A">
        <w:trPr>
          <w:cnfStyle w:val="000000100000"/>
          <w:trHeight w:val="72"/>
        </w:trPr>
        <w:tc>
          <w:tcPr>
            <w:cnfStyle w:val="001000000000"/>
            <w:tcW w:w="1985" w:type="dxa"/>
            <w:tcBorders>
              <w:bottom w:val="single" w:sz="8" w:space="0" w:color="FFFFFF" w:themeColor="background1"/>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sidRPr="00577495">
              <w:rPr>
                <w:b w:val="0"/>
                <w:bCs w:val="0"/>
                <w:color w:val="FFFFFF" w:themeColor="background1"/>
                <w:sz w:val="20"/>
                <w:szCs w:val="20"/>
              </w:rPr>
              <w:t>SEIFI Group 4 (%)</w:t>
            </w:r>
          </w:p>
        </w:tc>
        <w:tc>
          <w:tcPr>
            <w:tcW w:w="1276" w:type="dxa"/>
            <w:tcBorders>
              <w:left w:val="single" w:sz="8" w:space="0" w:color="FFFFFF" w:themeColor="background1"/>
              <w:bottom w:val="single" w:sz="8" w:space="0" w:color="FFFFFF" w:themeColor="background1"/>
              <w:right w:val="single" w:sz="8" w:space="0" w:color="FFFFFF" w:themeColor="background1"/>
            </w:tcBorders>
            <w:vAlign w:val="center"/>
          </w:tcPr>
          <w:p w:rsidR="002615F5" w:rsidRPr="00577495" w:rsidRDefault="00D974AF" w:rsidP="00233E8A">
            <w:pPr>
              <w:jc w:val="center"/>
              <w:cnfStyle w:val="000000100000"/>
              <w:rPr>
                <w:sz w:val="20"/>
                <w:szCs w:val="20"/>
              </w:rPr>
            </w:pPr>
            <w:r>
              <w:rPr>
                <w:sz w:val="20"/>
                <w:szCs w:val="20"/>
              </w:rPr>
              <w:t>47.6</w:t>
            </w:r>
            <w:r w:rsidR="002615F5" w:rsidRPr="00577495">
              <w:rPr>
                <w:sz w:val="20"/>
                <w:szCs w:val="20"/>
              </w:rPr>
              <w:t>%</w:t>
            </w:r>
          </w:p>
        </w:tc>
        <w:tc>
          <w:tcPr>
            <w:tcW w:w="1276" w:type="dxa"/>
            <w:tcBorders>
              <w:left w:val="single" w:sz="8" w:space="0" w:color="FFFFFF" w:themeColor="background1"/>
              <w:bottom w:val="single" w:sz="8" w:space="0" w:color="FFFFFF" w:themeColor="background1"/>
            </w:tcBorders>
            <w:vAlign w:val="center"/>
          </w:tcPr>
          <w:p w:rsidR="002615F5" w:rsidRPr="00577495" w:rsidRDefault="00D974AF" w:rsidP="00233E8A">
            <w:pPr>
              <w:jc w:val="center"/>
              <w:cnfStyle w:val="000000100000"/>
              <w:rPr>
                <w:bCs/>
                <w:sz w:val="20"/>
                <w:szCs w:val="20"/>
              </w:rPr>
            </w:pPr>
            <w:r>
              <w:rPr>
                <w:bCs/>
                <w:sz w:val="20"/>
                <w:szCs w:val="20"/>
              </w:rPr>
              <w:t>38.4</w:t>
            </w:r>
            <w:r w:rsidR="002615F5" w:rsidRPr="00577495">
              <w:rPr>
                <w:bCs/>
                <w:sz w:val="20"/>
                <w:szCs w:val="20"/>
              </w:rPr>
              <w:t>%</w:t>
            </w:r>
          </w:p>
        </w:tc>
      </w:tr>
      <w:tr w:rsidR="002615F5" w:rsidTr="00233E8A">
        <w:trPr>
          <w:cnfStyle w:val="000000010000"/>
          <w:trHeight w:val="72"/>
        </w:trPr>
        <w:tc>
          <w:tcPr>
            <w:cnfStyle w:val="001000000000"/>
            <w:tcW w:w="1985" w:type="dxa"/>
            <w:tcBorders>
              <w:right w:val="single" w:sz="8" w:space="0" w:color="FFFFFF" w:themeColor="background1"/>
            </w:tcBorders>
            <w:shd w:val="clear" w:color="auto" w:fill="4BACC6" w:themeFill="accent5"/>
            <w:vAlign w:val="center"/>
          </w:tcPr>
          <w:p w:rsidR="002615F5" w:rsidRPr="00577495" w:rsidRDefault="002615F5" w:rsidP="00233E8A">
            <w:pPr>
              <w:jc w:val="center"/>
              <w:rPr>
                <w:b w:val="0"/>
                <w:bCs w:val="0"/>
                <w:color w:val="FFFFFF" w:themeColor="background1"/>
                <w:sz w:val="20"/>
                <w:szCs w:val="20"/>
              </w:rPr>
            </w:pPr>
            <w:r>
              <w:rPr>
                <w:b w:val="0"/>
                <w:bCs w:val="0"/>
                <w:color w:val="FFFFFF" w:themeColor="background1"/>
                <w:sz w:val="20"/>
                <w:szCs w:val="20"/>
              </w:rPr>
              <w:t xml:space="preserve"> No. of CDs</w:t>
            </w:r>
          </w:p>
        </w:tc>
        <w:tc>
          <w:tcPr>
            <w:tcW w:w="1276" w:type="dxa"/>
            <w:tcBorders>
              <w:right w:val="single" w:sz="8" w:space="0" w:color="FFFFFF" w:themeColor="background1"/>
            </w:tcBorders>
            <w:vAlign w:val="center"/>
          </w:tcPr>
          <w:p w:rsidR="002615F5" w:rsidRDefault="002615F5" w:rsidP="00233E8A">
            <w:pPr>
              <w:jc w:val="center"/>
              <w:cnfStyle w:val="000000010000"/>
              <w:rPr>
                <w:sz w:val="20"/>
                <w:szCs w:val="20"/>
              </w:rPr>
            </w:pPr>
            <w:r>
              <w:rPr>
                <w:sz w:val="20"/>
                <w:szCs w:val="20"/>
              </w:rPr>
              <w:t>4</w:t>
            </w:r>
          </w:p>
        </w:tc>
        <w:tc>
          <w:tcPr>
            <w:tcW w:w="1276" w:type="dxa"/>
            <w:tcBorders>
              <w:left w:val="single" w:sz="8" w:space="0" w:color="FFFFFF" w:themeColor="background1"/>
              <w:right w:val="single" w:sz="8" w:space="0" w:color="FFFFFF" w:themeColor="background1"/>
            </w:tcBorders>
            <w:vAlign w:val="center"/>
          </w:tcPr>
          <w:p w:rsidR="002615F5" w:rsidRDefault="002615F5" w:rsidP="00233E8A">
            <w:pPr>
              <w:jc w:val="center"/>
              <w:cnfStyle w:val="000000010000"/>
              <w:rPr>
                <w:bCs/>
                <w:sz w:val="20"/>
                <w:szCs w:val="20"/>
              </w:rPr>
            </w:pPr>
          </w:p>
        </w:tc>
      </w:tr>
    </w:tbl>
    <w:p w:rsidR="002615F5" w:rsidRDefault="00D67B26" w:rsidP="009900CC">
      <w:r w:rsidRPr="00D67B26">
        <w:rPr>
          <w:noProof/>
          <w:lang w:eastAsia="en-CA"/>
        </w:rPr>
        <w:pict>
          <v:shape id="Text Box 31" o:spid="_x0000_s1061" type="#_x0000_t202" style="position:absolute;margin-left:-2.8pt;margin-top:4.95pt;width:228.55pt;height:213.85pt;z-index:25172582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9A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" filled="f" stroked="f">
            <v:textbox style="mso-next-textbox:#Text Box 31">
              <w:txbxContent>
                <w:p w:rsidR="006B6874" w:rsidRPr="00934E0B" w:rsidRDefault="006B6874" w:rsidP="00612C2B">
                  <w:pPr>
                    <w:pStyle w:val="ListParagraph"/>
                    <w:numPr>
                      <w:ilvl w:val="0"/>
                      <w:numId w:val="7"/>
                    </w:numPr>
                    <w:ind w:left="851" w:hanging="851"/>
                    <w:rPr>
                      <w:b/>
                      <w:color w:val="244061" w:themeColor="accent1" w:themeShade="80"/>
                    </w:rPr>
                  </w:pPr>
                  <w:r w:rsidRPr="00934E0B">
                    <w:rPr>
                      <w:b/>
                      <w:color w:val="244061" w:themeColor="accent1" w:themeShade="80"/>
                    </w:rPr>
                    <w:t xml:space="preserve">SEIFA and SEIFI data, </w:t>
                  </w:r>
                  <w:r>
                    <w:rPr>
                      <w:b/>
                      <w:color w:val="244061" w:themeColor="accent1" w:themeShade="80"/>
                    </w:rPr>
                    <w:t>Suburb of Torrens and Torrens CD 8020701</w:t>
                  </w:r>
                </w:p>
              </w:txbxContent>
            </v:textbox>
            <w10:wrap type="square"/>
          </v:shape>
        </w:pict>
      </w:r>
      <w:r w:rsidR="002615F5" w:rsidRPr="009900CC">
        <w:t xml:space="preserve">In contrast to Kingston 8014302, however, the CD-level SEIFA score for Torrens 8020701 is </w:t>
      </w:r>
      <w:r w:rsidR="009900CC">
        <w:t>4</w:t>
      </w:r>
      <w:r w:rsidR="002615F5" w:rsidRPr="009900CC">
        <w:t>, which, while still reflecting greater overall d</w:t>
      </w:r>
      <w:r w:rsidR="00B64EF5" w:rsidRPr="009900CC">
        <w:t>isadvantage in the area, masks 9</w:t>
      </w:r>
      <w:r w:rsidR="009900CC">
        <w:t>3</w:t>
      </w:r>
      <w:r w:rsidR="002615F5" w:rsidRPr="009900CC">
        <w:t xml:space="preserve"> </w:t>
      </w:r>
      <w:r w:rsidR="00021DAA" w:rsidRPr="009900CC">
        <w:t xml:space="preserve">residents aged 15-64 </w:t>
      </w:r>
      <w:r w:rsidR="002615F5" w:rsidRPr="009900CC">
        <w:t xml:space="preserve">who fall into the bottom </w:t>
      </w:r>
      <w:r w:rsidR="00B64EF5" w:rsidRPr="009900CC">
        <w:t>2</w:t>
      </w:r>
      <w:r w:rsidR="002615F5" w:rsidRPr="009900CC">
        <w:t>0% of Australians.</w:t>
      </w:r>
      <w:r w:rsidR="002615F5" w:rsidRPr="009900CC">
        <w:rPr>
          <w:color w:val="A6A6A6" w:themeColor="background1" w:themeShade="A6"/>
        </w:rPr>
        <w:t xml:space="preserve"> </w:t>
      </w:r>
      <w:r w:rsidR="009900CC">
        <w:t xml:space="preserve">In fact, with a SEIFA IRSD score that falls into Group 2, the SEIFA score of this collection district only represents the smallest segment of the local resident population. </w:t>
      </w:r>
    </w:p>
    <w:p w:rsidR="00E95246" w:rsidRPr="009900CC" w:rsidRDefault="00D67B26" w:rsidP="009900CC">
      <w:pPr>
        <w:rPr>
          <w:strike/>
        </w:rPr>
      </w:pPr>
      <w:r w:rsidRPr="00D67B26">
        <w:rPr>
          <w:noProof/>
          <w:lang w:eastAsia="en-CA"/>
        </w:rPr>
        <w:pict>
          <v:shape id="_x0000_s1062" type="#_x0000_t202" style="position:absolute;margin-left:-222.25pt;margin-top:66.55pt;width:196.2pt;height:14.25pt;z-index:2517268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62" inset="0,0,0,0">
              <w:txbxContent>
                <w:p w:rsidR="006B6874" w:rsidRPr="003610C9" w:rsidRDefault="006B6874" w:rsidP="002615F5">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txbxContent>
            </v:textbox>
          </v:shape>
        </w:pict>
      </w:r>
      <w:r w:rsidR="00E95246">
        <w:t xml:space="preserve">In additions to being geographically isolated and masked by SEIFA, the Group 1 individuals in this CD may experience greater relative vulnerability associated with living in an otherwise affluent suburb, such as managing higher food or childcare costs. </w:t>
      </w:r>
    </w:p>
    <w:p w:rsidR="002615F5" w:rsidRDefault="002615F5" w:rsidP="002615F5">
      <w:pPr>
        <w:spacing w:after="0"/>
      </w:pPr>
      <w:r w:rsidRPr="006F1651">
        <w:t>According to the SEIFI data, a similar phenomenon is also occurring in Turner, where Turner 8012805 has a Group 1 proportion of 6</w:t>
      </w:r>
      <w:r>
        <w:t>8.6</w:t>
      </w:r>
      <w:r w:rsidRPr="006F1651">
        <w:t xml:space="preserve">%, in </w:t>
      </w:r>
      <w:proofErr w:type="spellStart"/>
      <w:r w:rsidRPr="006F1651">
        <w:t>Braddon</w:t>
      </w:r>
      <w:proofErr w:type="spellEnd"/>
      <w:r w:rsidRPr="006F1651">
        <w:t xml:space="preserve">, where </w:t>
      </w:r>
      <w:proofErr w:type="spellStart"/>
      <w:r w:rsidRPr="006F1651">
        <w:t>Braddon</w:t>
      </w:r>
      <w:proofErr w:type="spellEnd"/>
      <w:r w:rsidRPr="006F1651">
        <w:t xml:space="preserve"> 8013604 has a Group 1 proportion of 6</w:t>
      </w:r>
      <w:r>
        <w:t>3.8</w:t>
      </w:r>
      <w:r w:rsidRPr="006F1651">
        <w:t xml:space="preserve">%, and in Lyons, where </w:t>
      </w:r>
      <w:r w:rsidR="00D47BA7">
        <w:t>Lyons</w:t>
      </w:r>
      <w:r w:rsidRPr="006F1651">
        <w:t xml:space="preserve"> 8021205 has a Group 1 proportion of 41</w:t>
      </w:r>
      <w:r>
        <w:t>.0</w:t>
      </w:r>
      <w:r w:rsidRPr="006F1651">
        <w:t xml:space="preserve">%. </w:t>
      </w:r>
      <w:r w:rsidR="00D47BA7">
        <w:t>Like Torrens</w:t>
      </w:r>
      <w:r w:rsidRPr="006F1651">
        <w:t xml:space="preserve">, the only </w:t>
      </w:r>
      <w:r w:rsidR="00D47BA7">
        <w:t xml:space="preserve">constituent </w:t>
      </w:r>
      <w:r w:rsidRPr="006F1651">
        <w:t xml:space="preserve">CD </w:t>
      </w:r>
      <w:r w:rsidR="00D47BA7">
        <w:t>in the suburb of Red Hill to have</w:t>
      </w:r>
      <w:r w:rsidRPr="006F1651">
        <w:t xml:space="preserve"> an above average proportion of Group 1 residents (48</w:t>
      </w:r>
      <w:r>
        <w:t>.1</w:t>
      </w:r>
      <w:r w:rsidRPr="006F1651">
        <w:t xml:space="preserve">%) also has an above average proportion of Group 4 individuals (see </w:t>
      </w:r>
      <w:hyperlink w:anchor="_Red_Hill" w:history="1">
        <w:r w:rsidR="00021DAA" w:rsidRPr="00021DAA">
          <w:rPr>
            <w:rStyle w:val="Hyperlink"/>
          </w:rPr>
          <w:t>Red Hill</w:t>
        </w:r>
      </w:hyperlink>
      <w:r>
        <w:t xml:space="preserve"> </w:t>
      </w:r>
      <w:r w:rsidRPr="006F1651">
        <w:t xml:space="preserve">for further discussion). This pattern in the distribution of SEIFI </w:t>
      </w:r>
      <w:r w:rsidR="00D47BA7">
        <w:t xml:space="preserve">IRSD </w:t>
      </w:r>
      <w:r w:rsidRPr="006F1651">
        <w:t>scores is also occurring to a lesser extent in Theodore, Hawker, Macquarie,</w:t>
      </w:r>
      <w:r>
        <w:t xml:space="preserve"> </w:t>
      </w:r>
      <w:proofErr w:type="spellStart"/>
      <w:r>
        <w:t>Mawson</w:t>
      </w:r>
      <w:proofErr w:type="spellEnd"/>
      <w:r>
        <w:t xml:space="preserve">, O’Connor, and Watson. Because the remaining CDs in these suburbs experience very little relative disadvantage, approximately 1682 Group 1 and </w:t>
      </w:r>
      <w:r w:rsidR="0082758A">
        <w:t xml:space="preserve">Group </w:t>
      </w:r>
      <w:r>
        <w:t xml:space="preserve">2 residents </w:t>
      </w:r>
      <w:r w:rsidR="0082758A">
        <w:t>aged 15-64 residing in</w:t>
      </w:r>
      <w:r>
        <w:t xml:space="preserve"> these CDs are masked by their respective suburb level SEIFA scores. </w:t>
      </w:r>
    </w:p>
    <w:p w:rsidR="002615F5" w:rsidRDefault="002615F5" w:rsidP="002615F5">
      <w:pPr>
        <w:spacing w:after="0"/>
      </w:pPr>
    </w:p>
    <w:p w:rsidR="00590738" w:rsidRPr="008230AD" w:rsidRDefault="005229AE" w:rsidP="008230AD">
      <w:pPr>
        <w:pStyle w:val="Heading3"/>
      </w:pPr>
      <w:bookmarkStart w:id="34" w:name="_Toc358033201"/>
      <w:r w:rsidRPr="008230AD">
        <w:t xml:space="preserve">The </w:t>
      </w:r>
      <w:r w:rsidR="00B90E9E" w:rsidRPr="008230AD">
        <w:t>Hidden Gradient</w:t>
      </w:r>
      <w:r w:rsidRPr="008230AD">
        <w:t xml:space="preserve">: </w:t>
      </w:r>
      <w:r w:rsidR="007D076E" w:rsidRPr="008230AD">
        <w:t>S</w:t>
      </w:r>
      <w:r w:rsidR="00573450" w:rsidRPr="008230AD">
        <w:t>ocio-</w:t>
      </w:r>
      <w:r w:rsidR="00B90E9E" w:rsidRPr="008230AD">
        <w:t>E</w:t>
      </w:r>
      <w:r w:rsidR="00573450" w:rsidRPr="008230AD">
        <w:t>conomic</w:t>
      </w:r>
      <w:r w:rsidR="008230AD" w:rsidRPr="008230AD">
        <w:t xml:space="preserve"> </w:t>
      </w:r>
      <w:r w:rsidR="007D076E" w:rsidRPr="008230AD">
        <w:t>D</w:t>
      </w:r>
      <w:r w:rsidR="00573450" w:rsidRPr="008230AD">
        <w:t xml:space="preserve">iversity </w:t>
      </w:r>
      <w:r w:rsidR="003F24EA" w:rsidRPr="008230AD">
        <w:t>w</w:t>
      </w:r>
      <w:r w:rsidR="00573450" w:rsidRPr="008230AD">
        <w:t xml:space="preserve">ithin </w:t>
      </w:r>
      <w:r w:rsidR="007D076E" w:rsidRPr="008230AD">
        <w:t>A</w:t>
      </w:r>
      <w:r w:rsidR="00573450" w:rsidRPr="008230AD">
        <w:t>reas</w:t>
      </w:r>
      <w:bookmarkEnd w:id="34"/>
    </w:p>
    <w:p w:rsidR="002615F5" w:rsidRDefault="002615F5" w:rsidP="002615F5">
      <w:r>
        <w:t xml:space="preserve">As has been discussed throughout this report, many of ACT’s the most disadvantaged individuals live in the same geographic areas as its least disadvantaged individuals. This pattern is much more common in the ACT than in most other Australian jurisdictions, and this high level of heterogeneity within areas significantly reduces the visibility of disadvantaged populations and increases the risk of </w:t>
      </w:r>
      <w:r w:rsidR="00781312">
        <w:t>vulnerabilities associated with</w:t>
      </w:r>
      <w:r>
        <w:t xml:space="preserve"> social exclusion when only the SEIFA score of an area is considered. </w:t>
      </w:r>
    </w:p>
    <w:p w:rsidR="002615F5" w:rsidRDefault="002615F5" w:rsidP="002615F5">
      <w:r>
        <w:t xml:space="preserve">Based on the distribution and grouping patterns of the SEIFI IRSD scores, an area is considered </w:t>
      </w:r>
      <w:r w:rsidR="00781312">
        <w:t xml:space="preserve">to </w:t>
      </w:r>
      <w:r>
        <w:t>have a diverse distribution of relative socio-economic disadvantage if it has above average proportions of both Group 1 and Group 4 individuals</w:t>
      </w:r>
      <w:r w:rsidR="005F5172">
        <w:t xml:space="preserve"> aged 15-64</w:t>
      </w:r>
      <w:r>
        <w:t xml:space="preserve">, where the average proportion of each group is 19.37% and 30.03%, respectively. </w:t>
      </w:r>
    </w:p>
    <w:p w:rsidR="002615F5" w:rsidRDefault="002615F5" w:rsidP="002615F5">
      <w:r>
        <w:lastRenderedPageBreak/>
        <w:t xml:space="preserve">Of the 95 suburbs in the ACT, 88 suburbs (92.6%) have above average proportions of individuals in Group 4, </w:t>
      </w:r>
      <w:r w:rsidR="00781312">
        <w:t>while</w:t>
      </w:r>
      <w:r>
        <w:t xml:space="preserve"> only 8 suburbs (8.4%) </w:t>
      </w:r>
      <w:r w:rsidR="00781312">
        <w:t>have</w:t>
      </w:r>
      <w:r>
        <w:t xml:space="preserve"> above average proportions of individuals in Group 1. While this is generally consistent with the low overall prevalence of socio-economic disadvantage in the ACT, this prevalence is greater than previously </w:t>
      </w:r>
      <w:r w:rsidR="00781312">
        <w:t xml:space="preserve">described by </w:t>
      </w:r>
      <w:r>
        <w:t>SEIFA IRSD. The SEIFI</w:t>
      </w:r>
      <w:r w:rsidR="00781312">
        <w:t xml:space="preserve"> IRSD</w:t>
      </w:r>
      <w:r>
        <w:t xml:space="preserve"> data reveals five suburbs to be socio-economic</w:t>
      </w:r>
      <w:r w:rsidR="00781312">
        <w:t>ally</w:t>
      </w:r>
      <w:r>
        <w:t xml:space="preserve"> diverse, including Reid, Page, </w:t>
      </w:r>
      <w:proofErr w:type="spellStart"/>
      <w:r>
        <w:t>Scullin</w:t>
      </w:r>
      <w:proofErr w:type="spellEnd"/>
      <w:r>
        <w:t xml:space="preserve">, Lyons, and Oaks Estate, one of </w:t>
      </w:r>
      <w:r w:rsidR="00A96786">
        <w:t xml:space="preserve">the </w:t>
      </w:r>
      <w:r>
        <w:t>only two ACT suburbs to have a SEIFA score of 1</w:t>
      </w:r>
      <w:r w:rsidR="00A96786">
        <w:t xml:space="preserve"> along with </w:t>
      </w:r>
      <w:proofErr w:type="spellStart"/>
      <w:r w:rsidR="00A96786" w:rsidRPr="00A96786">
        <w:t>Symonston</w:t>
      </w:r>
      <w:proofErr w:type="spellEnd"/>
      <w:r>
        <w:t xml:space="preserve">. </w:t>
      </w:r>
    </w:p>
    <w:p w:rsidR="002615F5" w:rsidRDefault="002615F5" w:rsidP="002615F5">
      <w:pPr>
        <w:spacing w:after="0"/>
      </w:pPr>
      <w:r>
        <w:t xml:space="preserve">At the collection district level, 475 of the 522 CDs in the ACT (90.9%) have above average proportions of Group 4 residents, while 84 collection districts (16.1%) have above average proportions of Group 1 residents, despite only 18 CDs (3.4%) having a SEIFA ranking that falls into the bottom quintile of disadvantage. </w:t>
      </w:r>
    </w:p>
    <w:p w:rsidR="002615F5" w:rsidRDefault="002615F5" w:rsidP="002615F5">
      <w:pPr>
        <w:spacing w:after="0"/>
      </w:pPr>
    </w:p>
    <w:p w:rsidR="002615F5" w:rsidRDefault="002615F5" w:rsidP="002615F5">
      <w:pPr>
        <w:spacing w:after="0"/>
      </w:pPr>
      <w:r>
        <w:t xml:space="preserve">A total of 59 ACT collection districts (11.3%) exhibit diversity. These diverse collection districts exist in every Canberra subdivision and in many of the suburbs discussed in this </w:t>
      </w:r>
      <w:r w:rsidR="0068462E">
        <w:t>report</w:t>
      </w:r>
      <w:r>
        <w:t xml:space="preserve">, including three diverse CDs in both Reid and </w:t>
      </w:r>
      <w:proofErr w:type="spellStart"/>
      <w:r>
        <w:t>Narrabundah</w:t>
      </w:r>
      <w:proofErr w:type="spellEnd"/>
      <w:r>
        <w:t xml:space="preserve">, five in </w:t>
      </w:r>
      <w:proofErr w:type="spellStart"/>
      <w:r>
        <w:t>Kambah</w:t>
      </w:r>
      <w:proofErr w:type="spellEnd"/>
      <w:r>
        <w:t xml:space="preserve">, and one in each of Isabella Plains, Ainslie, and </w:t>
      </w:r>
      <w:proofErr w:type="spellStart"/>
      <w:r>
        <w:t>Rivett</w:t>
      </w:r>
      <w:proofErr w:type="spellEnd"/>
      <w:r>
        <w:t xml:space="preserve">. Of these 59 diverse CDs, </w:t>
      </w:r>
    </w:p>
    <w:p w:rsidR="002615F5" w:rsidRDefault="002615F5" w:rsidP="00612C2B">
      <w:pPr>
        <w:pStyle w:val="ListParagraph"/>
        <w:numPr>
          <w:ilvl w:val="0"/>
          <w:numId w:val="10"/>
        </w:numPr>
        <w:spacing w:after="0"/>
      </w:pPr>
      <w:r>
        <w:t>8 CDs have a SEIFA score of 1 or 2</w:t>
      </w:r>
      <w:r w:rsidR="0068462E">
        <w:t>,</w:t>
      </w:r>
    </w:p>
    <w:p w:rsidR="002615F5" w:rsidRDefault="002615F5" w:rsidP="00612C2B">
      <w:pPr>
        <w:pStyle w:val="ListParagraph"/>
        <w:numPr>
          <w:ilvl w:val="0"/>
          <w:numId w:val="10"/>
        </w:numPr>
        <w:spacing w:after="0"/>
      </w:pPr>
      <w:r>
        <w:t>20 CDs have a SEIFA score of 3 or 4</w:t>
      </w:r>
      <w:r w:rsidR="0068462E">
        <w:t>,</w:t>
      </w:r>
    </w:p>
    <w:p w:rsidR="002615F5" w:rsidRDefault="002615F5" w:rsidP="00612C2B">
      <w:pPr>
        <w:pStyle w:val="ListParagraph"/>
        <w:numPr>
          <w:ilvl w:val="0"/>
          <w:numId w:val="10"/>
        </w:numPr>
        <w:spacing w:after="0"/>
      </w:pPr>
      <w:r>
        <w:t>28 CDs have a SEIFA score of 5 to 7</w:t>
      </w:r>
      <w:r w:rsidR="0068462E">
        <w:t>, and</w:t>
      </w:r>
    </w:p>
    <w:p w:rsidR="002615F5" w:rsidRDefault="002615F5" w:rsidP="00612C2B">
      <w:pPr>
        <w:pStyle w:val="ListParagraph"/>
        <w:numPr>
          <w:ilvl w:val="0"/>
          <w:numId w:val="10"/>
        </w:numPr>
        <w:spacing w:after="0"/>
      </w:pPr>
      <w:r>
        <w:t>3 CDs have a SEIFA score of 8 to 9</w:t>
      </w:r>
      <w:r w:rsidR="0068462E">
        <w:t>.</w:t>
      </w:r>
    </w:p>
    <w:p w:rsidR="002615F5" w:rsidRDefault="002615F5" w:rsidP="002615F5">
      <w:pPr>
        <w:spacing w:after="0"/>
      </w:pPr>
    </w:p>
    <w:p w:rsidR="002615F5" w:rsidRPr="00B716A9" w:rsidRDefault="002615F5" w:rsidP="002615F5">
      <w:pPr>
        <w:rPr>
          <w:color w:val="A6A6A6" w:themeColor="background1" w:themeShade="A6"/>
        </w:rPr>
      </w:pPr>
      <w:r w:rsidRPr="0082751C">
        <w:t xml:space="preserve">The largest proportion of diverse CDs falls into the SEIFA </w:t>
      </w:r>
      <w:proofErr w:type="spellStart"/>
      <w:r w:rsidRPr="0082751C">
        <w:t>decile</w:t>
      </w:r>
      <w:proofErr w:type="spellEnd"/>
      <w:r w:rsidRPr="0082751C">
        <w:t xml:space="preserve"> range from 5 to 7, indicating that SEIFA has made some correction for the greater relative socio-economic disadvantage that is experienced by individuals in these areas. When SEIFA is applied as a proxy, however, these SEIFA scores fail</w:t>
      </w:r>
      <w:r w:rsidR="003879C2">
        <w:t xml:space="preserve"> to</w:t>
      </w:r>
      <w:r w:rsidRPr="0082751C">
        <w:t xml:space="preserve"> represent those residents with extreme disadvantage. Alt</w:t>
      </w:r>
      <w:r>
        <w:t>ogether, 8,036 individuals</w:t>
      </w:r>
      <w:r w:rsidR="0068462E">
        <w:t xml:space="preserve"> aged 15-64</w:t>
      </w:r>
      <w:r>
        <w:t xml:space="preserve"> living in these diverse CDs are hidden when only SEIFA is considered.</w:t>
      </w:r>
    </w:p>
    <w:p w:rsidR="00590738" w:rsidRPr="008230AD" w:rsidRDefault="00590738" w:rsidP="008230AD">
      <w:pPr>
        <w:pStyle w:val="Heading4"/>
      </w:pPr>
      <w:bookmarkStart w:id="35" w:name="_Red_Hill"/>
      <w:bookmarkStart w:id="36" w:name="_Toc358033202"/>
      <w:bookmarkEnd w:id="35"/>
      <w:r w:rsidRPr="008230AD">
        <w:t>Red Hill</w:t>
      </w:r>
      <w:bookmarkEnd w:id="36"/>
      <w:r w:rsidRPr="008230AD">
        <w:t xml:space="preserve"> </w:t>
      </w:r>
    </w:p>
    <w:p w:rsidR="00590738" w:rsidRDefault="00590738" w:rsidP="00590738">
      <w:r>
        <w:t>The 2006 Census data for the suburb of Red Hill in South Canberra reveals that 57.2</w:t>
      </w:r>
      <w:r>
        <w:rPr>
          <w:rStyle w:val="Strong"/>
          <w:b w:val="0"/>
        </w:rPr>
        <w:t>% of the population aged 15 and over participates in the labour force, but 3.7% are unemployed, and 30.2% earn less than $400 per week in income. 329 dwellings in Red Hill are rented with a median weekly rent of $200, where 118 of these dwelling</w:t>
      </w:r>
      <w:r w:rsidR="0068462E">
        <w:rPr>
          <w:rStyle w:val="Strong"/>
          <w:b w:val="0"/>
        </w:rPr>
        <w:t>s</w:t>
      </w:r>
      <w:r>
        <w:rPr>
          <w:rStyle w:val="Strong"/>
          <w:b w:val="0"/>
        </w:rPr>
        <w:t xml:space="preserve"> are rented through the Housing and Community Services ACT public housing program</w:t>
      </w:r>
      <w:r w:rsidR="0068462E">
        <w:rPr>
          <w:rStyle w:val="Strong"/>
          <w:b w:val="0"/>
          <w:vertAlign w:val="superscript"/>
        </w:rPr>
        <w:t>14</w:t>
      </w:r>
      <w:r>
        <w:rPr>
          <w:rStyle w:val="Strong"/>
          <w:b w:val="0"/>
        </w:rPr>
        <w:t xml:space="preserve">. </w:t>
      </w:r>
      <w:r w:rsidRPr="00091A72">
        <w:t>Red Hill is</w:t>
      </w:r>
      <w:r>
        <w:t xml:space="preserve"> also</w:t>
      </w:r>
      <w:r w:rsidRPr="00091A72">
        <w:t xml:space="preserve"> </w:t>
      </w:r>
      <w:r>
        <w:t xml:space="preserve">well </w:t>
      </w:r>
      <w:r w:rsidRPr="00091A72">
        <w:t>known anecdotally to be home to both highly advantaged a</w:t>
      </w:r>
      <w:r>
        <w:t>nd</w:t>
      </w:r>
      <w:r w:rsidRPr="00091A72">
        <w:t xml:space="preserve"> highly disadvantaged individuals, and this observation is supported by the SEIFI</w:t>
      </w:r>
      <w:r w:rsidR="0068462E">
        <w:t xml:space="preserve"> IRSD</w:t>
      </w:r>
      <w:r w:rsidRPr="00091A72">
        <w:t xml:space="preserve"> data. </w:t>
      </w:r>
    </w:p>
    <w:p w:rsidR="00590738" w:rsidRPr="00091A72" w:rsidRDefault="00D67B26" w:rsidP="00590738">
      <w:r>
        <w:rPr>
          <w:noProof/>
          <w:lang w:val="en-AU" w:eastAsia="en-AU"/>
        </w:rPr>
        <w:pict>
          <v:shape id="_x0000_s1063" type="#_x0000_t202" style="position:absolute;margin-left:256.3pt;margin-top:192.85pt;width:196.2pt;height:14.5pt;z-index:2517278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63" inset="0,0,0,0">
              <w:txbxContent>
                <w:p w:rsidR="006B6874" w:rsidRPr="003610C9" w:rsidRDefault="006B6874" w:rsidP="00BE53D9">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p w:rsidR="006B6874" w:rsidRDefault="006B6874"/>
                <w:p w:rsidR="006B6874" w:rsidRPr="003610C9" w:rsidRDefault="006B6874" w:rsidP="00BE53D9">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txbxContent>
            </v:textbox>
          </v:shape>
        </w:pict>
      </w:r>
      <w:r w:rsidRPr="00D67B26">
        <w:rPr>
          <w:noProof/>
          <w:lang w:eastAsia="en-CA"/>
        </w:rPr>
        <w:pict>
          <v:shape id="Text Box 32" o:spid="_x0000_s1045" type="#_x0000_t202" style="position:absolute;margin-left:239.05pt;margin-top:2.6pt;width:233.25pt;height:190.25pt;z-index:2517104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eQug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" filled="f" stroked="f">
            <v:textbox style="mso-next-textbox:#Text Box 32">
              <w:txbxContent>
                <w:p w:rsidR="006B6874" w:rsidRPr="00934E0B" w:rsidRDefault="006B6874" w:rsidP="00612C2B">
                  <w:pPr>
                    <w:pStyle w:val="ListParagraph"/>
                    <w:numPr>
                      <w:ilvl w:val="0"/>
                      <w:numId w:val="7"/>
                    </w:numPr>
                    <w:ind w:left="851" w:hanging="851"/>
                    <w:rPr>
                      <w:b/>
                      <w:color w:val="244061" w:themeColor="accent1" w:themeShade="80"/>
                    </w:rPr>
                  </w:pPr>
                  <w:r w:rsidRPr="00934E0B">
                    <w:rPr>
                      <w:b/>
                      <w:color w:val="244061" w:themeColor="accent1" w:themeShade="80"/>
                    </w:rPr>
                    <w:t xml:space="preserve">SEIFA </w:t>
                  </w:r>
                  <w:r>
                    <w:t>IRSD</w:t>
                  </w:r>
                  <w:r w:rsidRPr="00934E0B">
                    <w:rPr>
                      <w:b/>
                      <w:color w:val="244061" w:themeColor="accent1" w:themeShade="80"/>
                    </w:rPr>
                    <w:t xml:space="preserve"> and SEIFI </w:t>
                  </w:r>
                  <w:r>
                    <w:t>IRSD</w:t>
                  </w:r>
                  <w:r w:rsidRPr="00934E0B">
                    <w:rPr>
                      <w:b/>
                      <w:color w:val="244061" w:themeColor="accent1" w:themeShade="80"/>
                    </w:rPr>
                    <w:t xml:space="preserve"> data, </w:t>
                  </w:r>
                  <w:r>
                    <w:rPr>
                      <w:b/>
                      <w:color w:val="244061" w:themeColor="accent1" w:themeShade="80"/>
                    </w:rPr>
                    <w:t>Suburb of Red Hill and Red Hill CD 8014903</w:t>
                  </w:r>
                  <w:r w:rsidRPr="00934E0B">
                    <w:rPr>
                      <w:b/>
                      <w:color w:val="244061" w:themeColor="accent1" w:themeShade="80"/>
                    </w:rPr>
                    <w:t xml:space="preserve"> </w:t>
                  </w:r>
                </w:p>
                <w:tbl>
                  <w:tblPr>
                    <w:tblStyle w:val="MediumShading1-Accent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985"/>
                    <w:gridCol w:w="1276"/>
                    <w:gridCol w:w="1276"/>
                  </w:tblGrid>
                  <w:tr w:rsidR="006B6874" w:rsidRPr="00091A72" w:rsidTr="00677F99">
                    <w:trPr>
                      <w:cnfStyle w:val="100000000000"/>
                      <w:trHeight w:val="607"/>
                    </w:trPr>
                    <w:tc>
                      <w:tcPr>
                        <w:cnfStyle w:val="001000000000"/>
                        <w:tcW w:w="1985" w:type="dxa"/>
                        <w:tcBorders>
                          <w:top w:val="nil"/>
                          <w:left w:val="nil"/>
                          <w:right w:val="single" w:sz="8" w:space="0" w:color="FFFFFF" w:themeColor="background1"/>
                        </w:tcBorders>
                        <w:shd w:val="clear" w:color="auto" w:fill="auto"/>
                      </w:tcPr>
                      <w:p w:rsidR="006B6874" w:rsidRPr="00091A72" w:rsidRDefault="006B6874" w:rsidP="00677F99">
                        <w:pPr>
                          <w:jc w:val="center"/>
                          <w:rPr>
                            <w:color w:val="auto"/>
                            <w:sz w:val="20"/>
                            <w:szCs w:val="20"/>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091A72" w:rsidRDefault="006B6874" w:rsidP="00677F99">
                        <w:pPr>
                          <w:spacing w:before="40" w:after="40"/>
                          <w:jc w:val="center"/>
                          <w:cnfStyle w:val="100000000000"/>
                          <w:rPr>
                            <w:b w:val="0"/>
                            <w:bCs w:val="0"/>
                            <w:color w:val="auto"/>
                            <w:sz w:val="20"/>
                            <w:szCs w:val="20"/>
                          </w:rPr>
                        </w:pPr>
                        <w:r w:rsidRPr="00091A72">
                          <w:rPr>
                            <w:b w:val="0"/>
                            <w:bCs w:val="0"/>
                            <w:color w:val="auto"/>
                            <w:sz w:val="20"/>
                            <w:szCs w:val="20"/>
                          </w:rPr>
                          <w:t xml:space="preserve">Suburb of </w:t>
                        </w:r>
                      </w:p>
                      <w:p w:rsidR="006B6874" w:rsidRPr="00091A72" w:rsidRDefault="006B6874" w:rsidP="00677F99">
                        <w:pPr>
                          <w:spacing w:before="40" w:after="40"/>
                          <w:jc w:val="center"/>
                          <w:cnfStyle w:val="100000000000"/>
                          <w:rPr>
                            <w:b w:val="0"/>
                            <w:bCs w:val="0"/>
                            <w:color w:val="auto"/>
                            <w:sz w:val="20"/>
                            <w:szCs w:val="20"/>
                          </w:rPr>
                        </w:pPr>
                        <w:r w:rsidRPr="00091A72">
                          <w:rPr>
                            <w:b w:val="0"/>
                            <w:bCs w:val="0"/>
                            <w:color w:val="auto"/>
                            <w:sz w:val="20"/>
                            <w:szCs w:val="20"/>
                          </w:rPr>
                          <w:t>Red Hill</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091A72" w:rsidRDefault="006B6874" w:rsidP="00677F99">
                        <w:pPr>
                          <w:spacing w:before="40" w:after="40"/>
                          <w:jc w:val="center"/>
                          <w:cnfStyle w:val="100000000000"/>
                          <w:rPr>
                            <w:b w:val="0"/>
                            <w:bCs w:val="0"/>
                            <w:color w:val="auto"/>
                            <w:sz w:val="20"/>
                            <w:szCs w:val="20"/>
                          </w:rPr>
                        </w:pPr>
                        <w:r w:rsidRPr="00091A72">
                          <w:rPr>
                            <w:b w:val="0"/>
                            <w:bCs w:val="0"/>
                            <w:color w:val="auto"/>
                            <w:sz w:val="20"/>
                            <w:szCs w:val="20"/>
                          </w:rPr>
                          <w:t>Red Hill CD 8014903</w:t>
                        </w:r>
                      </w:p>
                    </w:tc>
                  </w:tr>
                  <w:tr w:rsidR="006B6874" w:rsidRPr="00091A72" w:rsidTr="00677F99">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 xml:space="preserve">SEIFA </w:t>
                        </w:r>
                        <w:proofErr w:type="spellStart"/>
                        <w:r w:rsidRPr="00091A72">
                          <w:rPr>
                            <w:b w:val="0"/>
                            <w:bCs w:val="0"/>
                            <w:sz w:val="20"/>
                            <w:szCs w:val="20"/>
                          </w:rPr>
                          <w:t>decile</w:t>
                        </w:r>
                        <w:proofErr w:type="spellEnd"/>
                        <w:r w:rsidRPr="00091A72">
                          <w:rPr>
                            <w:b w:val="0"/>
                            <w:bCs w:val="0"/>
                            <w:sz w:val="20"/>
                            <w:szCs w:val="20"/>
                          </w:rPr>
                          <w:t xml:space="preserve"> score</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sidRPr="00091A72">
                          <w:rPr>
                            <w:sz w:val="20"/>
                            <w:szCs w:val="20"/>
                          </w:rPr>
                          <w:t>9</w:t>
                        </w:r>
                      </w:p>
                    </w:tc>
                    <w:tc>
                      <w:tcPr>
                        <w:tcW w:w="1276" w:type="dxa"/>
                        <w:tcBorders>
                          <w:left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1</w:t>
                        </w:r>
                      </w:p>
                    </w:tc>
                  </w:tr>
                  <w:tr w:rsidR="006B6874" w:rsidRPr="00091A72" w:rsidTr="00677F99">
                    <w:trPr>
                      <w:cnfStyle w:val="000000010000"/>
                      <w:trHeight w:val="251"/>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Usual Resident Pop.</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3,144</w:t>
                        </w:r>
                      </w:p>
                    </w:tc>
                    <w:tc>
                      <w:tcPr>
                        <w:tcW w:w="1276" w:type="dxa"/>
                        <w:tcBorders>
                          <w:left w:val="single" w:sz="8" w:space="0" w:color="FFFFFF" w:themeColor="background1"/>
                        </w:tcBorders>
                        <w:vAlign w:val="center"/>
                      </w:tcPr>
                      <w:p w:rsidR="006B6874" w:rsidRPr="00091A72" w:rsidRDefault="006B6874" w:rsidP="00677F99">
                        <w:pPr>
                          <w:jc w:val="center"/>
                          <w:cnfStyle w:val="000000010000"/>
                          <w:rPr>
                            <w:bCs/>
                            <w:sz w:val="20"/>
                            <w:szCs w:val="20"/>
                          </w:rPr>
                        </w:pPr>
                        <w:r w:rsidRPr="00091A72">
                          <w:rPr>
                            <w:bCs/>
                            <w:sz w:val="20"/>
                            <w:szCs w:val="20"/>
                          </w:rPr>
                          <w:t>422</w:t>
                        </w:r>
                      </w:p>
                    </w:tc>
                  </w:tr>
                  <w:tr w:rsidR="006B6874" w:rsidRPr="00091A72" w:rsidTr="00677F99">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15 to 64 Aged Pop.</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Pr>
                            <w:sz w:val="20"/>
                            <w:szCs w:val="20"/>
                          </w:rPr>
                          <w:t>2,051</w:t>
                        </w:r>
                      </w:p>
                    </w:tc>
                    <w:tc>
                      <w:tcPr>
                        <w:tcW w:w="1276" w:type="dxa"/>
                        <w:tcBorders>
                          <w:left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320</w:t>
                        </w:r>
                      </w:p>
                    </w:tc>
                  </w:tr>
                  <w:tr w:rsidR="006B6874" w:rsidRPr="00091A72" w:rsidTr="00677F99">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1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11.7%</w:t>
                        </w:r>
                      </w:p>
                    </w:tc>
                    <w:tc>
                      <w:tcPr>
                        <w:tcW w:w="1276" w:type="dxa"/>
                        <w:tcBorders>
                          <w:left w:val="single" w:sz="8" w:space="0" w:color="FFFFFF" w:themeColor="background1"/>
                        </w:tcBorders>
                        <w:vAlign w:val="center"/>
                      </w:tcPr>
                      <w:p w:rsidR="006B6874" w:rsidRPr="00091A72" w:rsidRDefault="006B6874" w:rsidP="00677F99">
                        <w:pPr>
                          <w:jc w:val="center"/>
                          <w:cnfStyle w:val="000000010000"/>
                          <w:rPr>
                            <w:bCs/>
                            <w:sz w:val="20"/>
                            <w:szCs w:val="20"/>
                          </w:rPr>
                        </w:pPr>
                        <w:r w:rsidRPr="00091A72">
                          <w:rPr>
                            <w:bCs/>
                            <w:sz w:val="20"/>
                            <w:szCs w:val="20"/>
                          </w:rPr>
                          <w:t>48</w:t>
                        </w:r>
                        <w:r>
                          <w:rPr>
                            <w:bCs/>
                            <w:sz w:val="20"/>
                            <w:szCs w:val="20"/>
                          </w:rPr>
                          <w:t>.1</w:t>
                        </w:r>
                        <w:r w:rsidRPr="00091A72">
                          <w:rPr>
                            <w:bCs/>
                            <w:sz w:val="20"/>
                            <w:szCs w:val="20"/>
                          </w:rPr>
                          <w:t>%</w:t>
                        </w:r>
                      </w:p>
                    </w:tc>
                  </w:tr>
                  <w:tr w:rsidR="006B6874" w:rsidRPr="00091A72" w:rsidTr="00677F99">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2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Pr>
                            <w:sz w:val="20"/>
                            <w:szCs w:val="20"/>
                          </w:rPr>
                          <w:t>5.3%</w:t>
                        </w:r>
                      </w:p>
                    </w:tc>
                    <w:tc>
                      <w:tcPr>
                        <w:tcW w:w="1276" w:type="dxa"/>
                        <w:tcBorders>
                          <w:left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4</w:t>
                        </w:r>
                        <w:r>
                          <w:rPr>
                            <w:bCs/>
                            <w:sz w:val="20"/>
                            <w:szCs w:val="20"/>
                          </w:rPr>
                          <w:t>.1</w:t>
                        </w:r>
                        <w:r w:rsidRPr="00091A72">
                          <w:rPr>
                            <w:bCs/>
                            <w:sz w:val="20"/>
                            <w:szCs w:val="20"/>
                          </w:rPr>
                          <w:t>%</w:t>
                        </w:r>
                      </w:p>
                    </w:tc>
                  </w:tr>
                  <w:tr w:rsidR="006B6874" w:rsidRPr="00091A72" w:rsidTr="00677F99">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3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29.0%</w:t>
                        </w:r>
                      </w:p>
                    </w:tc>
                    <w:tc>
                      <w:tcPr>
                        <w:tcW w:w="1276" w:type="dxa"/>
                        <w:tcBorders>
                          <w:left w:val="single" w:sz="8" w:space="0" w:color="FFFFFF" w:themeColor="background1"/>
                        </w:tcBorders>
                        <w:vAlign w:val="center"/>
                      </w:tcPr>
                      <w:p w:rsidR="006B6874" w:rsidRPr="00091A72" w:rsidRDefault="006B6874" w:rsidP="00677F99">
                        <w:pPr>
                          <w:jc w:val="center"/>
                          <w:cnfStyle w:val="000000010000"/>
                          <w:rPr>
                            <w:bCs/>
                            <w:sz w:val="20"/>
                            <w:szCs w:val="20"/>
                          </w:rPr>
                        </w:pPr>
                        <w:r>
                          <w:rPr>
                            <w:bCs/>
                            <w:sz w:val="20"/>
                            <w:szCs w:val="20"/>
                          </w:rPr>
                          <w:t>14.9</w:t>
                        </w:r>
                        <w:r w:rsidRPr="00091A72">
                          <w:rPr>
                            <w:bCs/>
                            <w:sz w:val="20"/>
                            <w:szCs w:val="20"/>
                          </w:rPr>
                          <w:t>%</w:t>
                        </w:r>
                      </w:p>
                    </w:tc>
                  </w:tr>
                  <w:tr w:rsidR="006B6874" w:rsidRPr="00091A72" w:rsidTr="00677F99">
                    <w:trPr>
                      <w:cnfStyle w:val="000000100000"/>
                      <w:trHeight w:val="72"/>
                    </w:trPr>
                    <w:tc>
                      <w:tcPr>
                        <w:cnfStyle w:val="001000000000"/>
                        <w:tcW w:w="1985" w:type="dxa"/>
                        <w:tcBorders>
                          <w:bottom w:val="single" w:sz="8" w:space="0" w:color="FFFFFF" w:themeColor="background1"/>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4 (%)</w:t>
                        </w:r>
                      </w:p>
                    </w:tc>
                    <w:tc>
                      <w:tcPr>
                        <w:tcW w:w="1276" w:type="dxa"/>
                        <w:tcBorders>
                          <w:left w:val="single" w:sz="8" w:space="0" w:color="FFFFFF" w:themeColor="background1"/>
                          <w:bottom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Pr>
                            <w:sz w:val="20"/>
                            <w:szCs w:val="20"/>
                          </w:rPr>
                          <w:t>54.0%</w:t>
                        </w:r>
                      </w:p>
                    </w:tc>
                    <w:tc>
                      <w:tcPr>
                        <w:tcW w:w="1276" w:type="dxa"/>
                        <w:tcBorders>
                          <w:left w:val="single" w:sz="8" w:space="0" w:color="FFFFFF" w:themeColor="background1"/>
                          <w:bottom w:val="single" w:sz="8" w:space="0" w:color="FFFFFF" w:themeColor="background1"/>
                        </w:tcBorders>
                        <w:vAlign w:val="center"/>
                      </w:tcPr>
                      <w:p w:rsidR="006B6874" w:rsidRPr="00091A72" w:rsidRDefault="006B6874" w:rsidP="00677F99">
                        <w:pPr>
                          <w:jc w:val="center"/>
                          <w:cnfStyle w:val="000000100000"/>
                          <w:rPr>
                            <w:bCs/>
                            <w:sz w:val="20"/>
                            <w:szCs w:val="20"/>
                          </w:rPr>
                        </w:pPr>
                        <w:r>
                          <w:rPr>
                            <w:bCs/>
                            <w:sz w:val="20"/>
                            <w:szCs w:val="20"/>
                          </w:rPr>
                          <w:t>32.9</w:t>
                        </w:r>
                        <w:r w:rsidRPr="00091A72">
                          <w:rPr>
                            <w:bCs/>
                            <w:sz w:val="20"/>
                            <w:szCs w:val="20"/>
                          </w:rPr>
                          <w:t>%</w:t>
                        </w:r>
                      </w:p>
                    </w:tc>
                  </w:tr>
                  <w:tr w:rsidR="006B6874" w:rsidRPr="00091A72" w:rsidTr="00677F99">
                    <w:trPr>
                      <w:cnfStyle w:val="000000010000"/>
                      <w:trHeight w:val="72"/>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 xml:space="preserve"> No. of CDs</w:t>
                        </w:r>
                      </w:p>
                    </w:tc>
                    <w:tc>
                      <w:tcPr>
                        <w:tcW w:w="1276" w:type="dxa"/>
                        <w:tcBorders>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5</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bCs/>
                            <w:sz w:val="20"/>
                            <w:szCs w:val="20"/>
                          </w:rPr>
                        </w:pPr>
                      </w:p>
                    </w:tc>
                  </w:tr>
                </w:tbl>
                <w:p w:rsidR="006B6874" w:rsidRDefault="006B6874"/>
                <w:tbl>
                  <w:tblPr>
                    <w:tblStyle w:val="MediumShading1-Accent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985"/>
                    <w:gridCol w:w="1276"/>
                    <w:gridCol w:w="1276"/>
                  </w:tblGrid>
                  <w:tr w:rsidR="006B6874" w:rsidRPr="00091A72" w:rsidTr="00677F99">
                    <w:trPr>
                      <w:cnfStyle w:val="100000000000"/>
                      <w:trHeight w:val="607"/>
                    </w:trPr>
                    <w:tc>
                      <w:tcPr>
                        <w:cnfStyle w:val="001000000000"/>
                        <w:tcW w:w="1985" w:type="dxa"/>
                        <w:tcBorders>
                          <w:top w:val="nil"/>
                          <w:left w:val="nil"/>
                          <w:right w:val="single" w:sz="8" w:space="0" w:color="FFFFFF" w:themeColor="background1"/>
                        </w:tcBorders>
                        <w:shd w:val="clear" w:color="auto" w:fill="auto"/>
                      </w:tcPr>
                      <w:p w:rsidR="006B6874" w:rsidRPr="00091A72" w:rsidRDefault="006B6874" w:rsidP="00677F99">
                        <w:pPr>
                          <w:jc w:val="center"/>
                          <w:rPr>
                            <w:color w:val="auto"/>
                            <w:sz w:val="20"/>
                            <w:szCs w:val="20"/>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091A72" w:rsidRDefault="006B6874" w:rsidP="00677F99">
                        <w:pPr>
                          <w:spacing w:before="40" w:after="40"/>
                          <w:jc w:val="center"/>
                          <w:cnfStyle w:val="100000000000"/>
                          <w:rPr>
                            <w:b w:val="0"/>
                            <w:bCs w:val="0"/>
                            <w:color w:val="auto"/>
                            <w:sz w:val="20"/>
                            <w:szCs w:val="20"/>
                          </w:rPr>
                        </w:pPr>
                        <w:r w:rsidRPr="00091A72">
                          <w:rPr>
                            <w:b w:val="0"/>
                            <w:bCs w:val="0"/>
                            <w:color w:val="auto"/>
                            <w:sz w:val="20"/>
                            <w:szCs w:val="20"/>
                          </w:rPr>
                          <w:t xml:space="preserve">Suburb of </w:t>
                        </w:r>
                      </w:p>
                      <w:p w:rsidR="006B6874" w:rsidRPr="00091A72" w:rsidRDefault="006B6874" w:rsidP="00677F99">
                        <w:pPr>
                          <w:spacing w:before="40" w:after="40"/>
                          <w:jc w:val="center"/>
                          <w:cnfStyle w:val="100000000000"/>
                          <w:rPr>
                            <w:b w:val="0"/>
                            <w:bCs w:val="0"/>
                            <w:color w:val="auto"/>
                            <w:sz w:val="20"/>
                            <w:szCs w:val="20"/>
                          </w:rPr>
                        </w:pPr>
                        <w:r w:rsidRPr="00091A72">
                          <w:rPr>
                            <w:b w:val="0"/>
                            <w:bCs w:val="0"/>
                            <w:color w:val="auto"/>
                            <w:sz w:val="20"/>
                            <w:szCs w:val="20"/>
                          </w:rPr>
                          <w:t>Red Hill</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091A72" w:rsidRDefault="006B6874" w:rsidP="00677F99">
                        <w:pPr>
                          <w:spacing w:before="40" w:after="40"/>
                          <w:jc w:val="center"/>
                          <w:cnfStyle w:val="100000000000"/>
                          <w:rPr>
                            <w:b w:val="0"/>
                            <w:bCs w:val="0"/>
                            <w:color w:val="auto"/>
                            <w:sz w:val="20"/>
                            <w:szCs w:val="20"/>
                          </w:rPr>
                        </w:pPr>
                        <w:r w:rsidRPr="00091A72">
                          <w:rPr>
                            <w:b w:val="0"/>
                            <w:bCs w:val="0"/>
                            <w:color w:val="auto"/>
                            <w:sz w:val="20"/>
                            <w:szCs w:val="20"/>
                          </w:rPr>
                          <w:t>Red Hill CD 8014903</w:t>
                        </w:r>
                      </w:p>
                    </w:tc>
                  </w:tr>
                  <w:tr w:rsidR="006B6874" w:rsidRPr="00091A72" w:rsidTr="00677F99">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 xml:space="preserve">SEIFA </w:t>
                        </w:r>
                        <w:proofErr w:type="spellStart"/>
                        <w:r w:rsidRPr="00091A72">
                          <w:rPr>
                            <w:b w:val="0"/>
                            <w:bCs w:val="0"/>
                            <w:sz w:val="20"/>
                            <w:szCs w:val="20"/>
                          </w:rPr>
                          <w:t>decile</w:t>
                        </w:r>
                        <w:proofErr w:type="spellEnd"/>
                        <w:r w:rsidRPr="00091A72">
                          <w:rPr>
                            <w:b w:val="0"/>
                            <w:bCs w:val="0"/>
                            <w:sz w:val="20"/>
                            <w:szCs w:val="20"/>
                          </w:rPr>
                          <w:t xml:space="preserve"> score</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sidRPr="00091A72">
                          <w:rPr>
                            <w:sz w:val="20"/>
                            <w:szCs w:val="20"/>
                          </w:rPr>
                          <w:t>9</w:t>
                        </w:r>
                      </w:p>
                    </w:tc>
                    <w:tc>
                      <w:tcPr>
                        <w:tcW w:w="1276" w:type="dxa"/>
                        <w:tcBorders>
                          <w:left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1</w:t>
                        </w:r>
                      </w:p>
                    </w:tc>
                  </w:tr>
                  <w:tr w:rsidR="006B6874" w:rsidRPr="00091A72" w:rsidTr="00677F99">
                    <w:trPr>
                      <w:cnfStyle w:val="000000010000"/>
                      <w:trHeight w:val="251"/>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Usual Resident Pop.</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3,144</w:t>
                        </w:r>
                      </w:p>
                    </w:tc>
                    <w:tc>
                      <w:tcPr>
                        <w:tcW w:w="1276" w:type="dxa"/>
                        <w:tcBorders>
                          <w:left w:val="single" w:sz="8" w:space="0" w:color="FFFFFF" w:themeColor="background1"/>
                        </w:tcBorders>
                        <w:vAlign w:val="center"/>
                      </w:tcPr>
                      <w:p w:rsidR="006B6874" w:rsidRPr="00091A72" w:rsidRDefault="006B6874" w:rsidP="00677F99">
                        <w:pPr>
                          <w:jc w:val="center"/>
                          <w:cnfStyle w:val="000000010000"/>
                          <w:rPr>
                            <w:bCs/>
                            <w:sz w:val="20"/>
                            <w:szCs w:val="20"/>
                          </w:rPr>
                        </w:pPr>
                        <w:r w:rsidRPr="00091A72">
                          <w:rPr>
                            <w:bCs/>
                            <w:sz w:val="20"/>
                            <w:szCs w:val="20"/>
                          </w:rPr>
                          <w:t>422</w:t>
                        </w:r>
                      </w:p>
                    </w:tc>
                  </w:tr>
                  <w:tr w:rsidR="006B6874" w:rsidRPr="00091A72" w:rsidTr="00677F99">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15 to 64 Aged Pop.</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Pr>
                            <w:sz w:val="20"/>
                            <w:szCs w:val="20"/>
                          </w:rPr>
                          <w:t>2,051</w:t>
                        </w:r>
                      </w:p>
                    </w:tc>
                    <w:tc>
                      <w:tcPr>
                        <w:tcW w:w="1276" w:type="dxa"/>
                        <w:tcBorders>
                          <w:left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320</w:t>
                        </w:r>
                      </w:p>
                    </w:tc>
                  </w:tr>
                  <w:tr w:rsidR="006B6874" w:rsidRPr="00091A72" w:rsidTr="00677F99">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1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12%</w:t>
                        </w:r>
                      </w:p>
                    </w:tc>
                    <w:tc>
                      <w:tcPr>
                        <w:tcW w:w="1276" w:type="dxa"/>
                        <w:tcBorders>
                          <w:left w:val="single" w:sz="8" w:space="0" w:color="FFFFFF" w:themeColor="background1"/>
                        </w:tcBorders>
                        <w:vAlign w:val="center"/>
                      </w:tcPr>
                      <w:p w:rsidR="006B6874" w:rsidRPr="00091A72" w:rsidRDefault="006B6874" w:rsidP="00677F99">
                        <w:pPr>
                          <w:jc w:val="center"/>
                          <w:cnfStyle w:val="000000010000"/>
                          <w:rPr>
                            <w:bCs/>
                            <w:sz w:val="20"/>
                            <w:szCs w:val="20"/>
                          </w:rPr>
                        </w:pPr>
                        <w:r w:rsidRPr="00091A72">
                          <w:rPr>
                            <w:bCs/>
                            <w:sz w:val="20"/>
                            <w:szCs w:val="20"/>
                          </w:rPr>
                          <w:t>48%</w:t>
                        </w:r>
                      </w:p>
                    </w:tc>
                  </w:tr>
                  <w:tr w:rsidR="006B6874" w:rsidRPr="00091A72" w:rsidTr="00677F99">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2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Pr>
                            <w:sz w:val="20"/>
                            <w:szCs w:val="20"/>
                          </w:rPr>
                          <w:t>5%</w:t>
                        </w:r>
                      </w:p>
                    </w:tc>
                    <w:tc>
                      <w:tcPr>
                        <w:tcW w:w="1276" w:type="dxa"/>
                        <w:tcBorders>
                          <w:left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4%</w:t>
                        </w:r>
                      </w:p>
                    </w:tc>
                  </w:tr>
                  <w:tr w:rsidR="006B6874" w:rsidRPr="00091A72" w:rsidTr="00677F99">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3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29%</w:t>
                        </w:r>
                      </w:p>
                    </w:tc>
                    <w:tc>
                      <w:tcPr>
                        <w:tcW w:w="1276" w:type="dxa"/>
                        <w:tcBorders>
                          <w:left w:val="single" w:sz="8" w:space="0" w:color="FFFFFF" w:themeColor="background1"/>
                        </w:tcBorders>
                        <w:vAlign w:val="center"/>
                      </w:tcPr>
                      <w:p w:rsidR="006B6874" w:rsidRPr="00091A72" w:rsidRDefault="006B6874" w:rsidP="00677F99">
                        <w:pPr>
                          <w:jc w:val="center"/>
                          <w:cnfStyle w:val="000000010000"/>
                          <w:rPr>
                            <w:bCs/>
                            <w:sz w:val="20"/>
                            <w:szCs w:val="20"/>
                          </w:rPr>
                        </w:pPr>
                        <w:r w:rsidRPr="00091A72">
                          <w:rPr>
                            <w:bCs/>
                            <w:sz w:val="20"/>
                            <w:szCs w:val="20"/>
                          </w:rPr>
                          <w:t>15%</w:t>
                        </w:r>
                      </w:p>
                    </w:tc>
                  </w:tr>
                  <w:tr w:rsidR="006B6874" w:rsidRPr="00091A72" w:rsidTr="00677F99">
                    <w:trPr>
                      <w:cnfStyle w:val="000000100000"/>
                      <w:trHeight w:val="72"/>
                    </w:trPr>
                    <w:tc>
                      <w:tcPr>
                        <w:cnfStyle w:val="001000000000"/>
                        <w:tcW w:w="1985" w:type="dxa"/>
                        <w:tcBorders>
                          <w:bottom w:val="single" w:sz="8" w:space="0" w:color="FFFFFF" w:themeColor="background1"/>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SEIFI Group 4 (%)</w:t>
                        </w:r>
                      </w:p>
                    </w:tc>
                    <w:tc>
                      <w:tcPr>
                        <w:tcW w:w="1276" w:type="dxa"/>
                        <w:tcBorders>
                          <w:left w:val="single" w:sz="8" w:space="0" w:color="FFFFFF" w:themeColor="background1"/>
                          <w:bottom w:val="single" w:sz="8" w:space="0" w:color="FFFFFF" w:themeColor="background1"/>
                          <w:right w:val="single" w:sz="8" w:space="0" w:color="FFFFFF" w:themeColor="background1"/>
                        </w:tcBorders>
                        <w:vAlign w:val="center"/>
                      </w:tcPr>
                      <w:p w:rsidR="006B6874" w:rsidRPr="00091A72" w:rsidRDefault="006B6874" w:rsidP="00677F99">
                        <w:pPr>
                          <w:jc w:val="center"/>
                          <w:cnfStyle w:val="000000100000"/>
                          <w:rPr>
                            <w:sz w:val="20"/>
                            <w:szCs w:val="20"/>
                          </w:rPr>
                        </w:pPr>
                        <w:r>
                          <w:rPr>
                            <w:sz w:val="20"/>
                            <w:szCs w:val="20"/>
                          </w:rPr>
                          <w:t>54%</w:t>
                        </w:r>
                      </w:p>
                    </w:tc>
                    <w:tc>
                      <w:tcPr>
                        <w:tcW w:w="1276" w:type="dxa"/>
                        <w:tcBorders>
                          <w:left w:val="single" w:sz="8" w:space="0" w:color="FFFFFF" w:themeColor="background1"/>
                          <w:bottom w:val="single" w:sz="8" w:space="0" w:color="FFFFFF" w:themeColor="background1"/>
                        </w:tcBorders>
                        <w:vAlign w:val="center"/>
                      </w:tcPr>
                      <w:p w:rsidR="006B6874" w:rsidRPr="00091A72" w:rsidRDefault="006B6874" w:rsidP="00677F99">
                        <w:pPr>
                          <w:jc w:val="center"/>
                          <w:cnfStyle w:val="000000100000"/>
                          <w:rPr>
                            <w:bCs/>
                            <w:sz w:val="20"/>
                            <w:szCs w:val="20"/>
                          </w:rPr>
                        </w:pPr>
                        <w:r w:rsidRPr="00091A72">
                          <w:rPr>
                            <w:bCs/>
                            <w:sz w:val="20"/>
                            <w:szCs w:val="20"/>
                          </w:rPr>
                          <w:t>33%</w:t>
                        </w:r>
                      </w:p>
                    </w:tc>
                  </w:tr>
                  <w:tr w:rsidR="006B6874" w:rsidRPr="00091A72" w:rsidTr="00677F99">
                    <w:trPr>
                      <w:cnfStyle w:val="000000010000"/>
                      <w:trHeight w:val="72"/>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677F99">
                        <w:pPr>
                          <w:jc w:val="center"/>
                          <w:rPr>
                            <w:b w:val="0"/>
                            <w:bCs w:val="0"/>
                            <w:sz w:val="20"/>
                            <w:szCs w:val="20"/>
                          </w:rPr>
                        </w:pPr>
                        <w:r w:rsidRPr="00091A72">
                          <w:rPr>
                            <w:b w:val="0"/>
                            <w:bCs w:val="0"/>
                            <w:sz w:val="20"/>
                            <w:szCs w:val="20"/>
                          </w:rPr>
                          <w:t xml:space="preserve"> No. of CDs</w:t>
                        </w:r>
                      </w:p>
                    </w:tc>
                    <w:tc>
                      <w:tcPr>
                        <w:tcW w:w="1276" w:type="dxa"/>
                        <w:tcBorders>
                          <w:right w:val="single" w:sz="8" w:space="0" w:color="FFFFFF" w:themeColor="background1"/>
                        </w:tcBorders>
                        <w:vAlign w:val="center"/>
                      </w:tcPr>
                      <w:p w:rsidR="006B6874" w:rsidRPr="00091A72" w:rsidRDefault="006B6874" w:rsidP="00677F99">
                        <w:pPr>
                          <w:jc w:val="center"/>
                          <w:cnfStyle w:val="000000010000"/>
                          <w:rPr>
                            <w:sz w:val="20"/>
                            <w:szCs w:val="20"/>
                          </w:rPr>
                        </w:pPr>
                        <w:r>
                          <w:rPr>
                            <w:sz w:val="20"/>
                            <w:szCs w:val="20"/>
                          </w:rPr>
                          <w:t>5</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677F99">
                        <w:pPr>
                          <w:jc w:val="center"/>
                          <w:cnfStyle w:val="000000010000"/>
                          <w:rPr>
                            <w:bCs/>
                            <w:sz w:val="20"/>
                            <w:szCs w:val="20"/>
                          </w:rPr>
                        </w:pPr>
                      </w:p>
                    </w:tc>
                  </w:tr>
                </w:tbl>
                <w:p w:rsidR="006B6874" w:rsidRPr="00934E0B" w:rsidRDefault="006B6874" w:rsidP="00612C2B">
                  <w:pPr>
                    <w:pStyle w:val="ListParagraph"/>
                    <w:numPr>
                      <w:ilvl w:val="0"/>
                      <w:numId w:val="7"/>
                    </w:numPr>
                    <w:ind w:left="851" w:hanging="851"/>
                    <w:rPr>
                      <w:b/>
                      <w:color w:val="244061" w:themeColor="accent1" w:themeShade="80"/>
                    </w:rPr>
                  </w:pPr>
                  <w:r w:rsidRPr="00934E0B">
                    <w:rPr>
                      <w:b/>
                      <w:color w:val="244061" w:themeColor="accent1" w:themeShade="80"/>
                    </w:rPr>
                    <w:t xml:space="preserve"> SEIFA </w:t>
                  </w:r>
                  <w:r>
                    <w:t>IRSD</w:t>
                  </w:r>
                  <w:r w:rsidRPr="00934E0B">
                    <w:rPr>
                      <w:b/>
                      <w:color w:val="244061" w:themeColor="accent1" w:themeShade="80"/>
                    </w:rPr>
                    <w:t xml:space="preserve"> and SEIFI </w:t>
                  </w:r>
                  <w:r>
                    <w:t>IRSD</w:t>
                  </w:r>
                  <w:r w:rsidRPr="00934E0B">
                    <w:rPr>
                      <w:b/>
                      <w:color w:val="244061" w:themeColor="accent1" w:themeShade="80"/>
                    </w:rPr>
                    <w:t xml:space="preserve"> data, </w:t>
                  </w:r>
                  <w:r>
                    <w:rPr>
                      <w:b/>
                      <w:color w:val="244061" w:themeColor="accent1" w:themeShade="80"/>
                    </w:rPr>
                    <w:t>Suburb of Red Hill and Red Hill CD 8014903</w:t>
                  </w:r>
                  <w:r w:rsidRPr="00934E0B">
                    <w:rPr>
                      <w:b/>
                      <w:color w:val="244061" w:themeColor="accent1" w:themeShade="80"/>
                    </w:rPr>
                    <w:t xml:space="preserve"> </w:t>
                  </w:r>
                </w:p>
              </w:txbxContent>
            </v:textbox>
            <w10:wrap type="square"/>
          </v:shape>
        </w:pict>
      </w:r>
      <w:r w:rsidR="00590738" w:rsidRPr="00091A72">
        <w:t xml:space="preserve">While all five collection districts in the suburb of Red Hill have above average proportions of individuals in Group 4, Red Hill 8014903 also has a Group 1 population proportion that is well above average. Of all ACT CDs that have diverse </w:t>
      </w:r>
      <w:r w:rsidR="00590738" w:rsidRPr="00091A72">
        <w:lastRenderedPageBreak/>
        <w:t xml:space="preserve">populations, Red Hill 8014903 has the greatest proportion of residents </w:t>
      </w:r>
      <w:r w:rsidR="00B77E05">
        <w:t xml:space="preserve">aged 15-64 </w:t>
      </w:r>
      <w:r w:rsidR="00590738" w:rsidRPr="00091A72">
        <w:t xml:space="preserve">in Group 1 and the second greatest number of Group 1 individuals, with 154 people </w:t>
      </w:r>
      <w:r w:rsidR="00B77E05">
        <w:t xml:space="preserve">aged 15-64 </w:t>
      </w:r>
      <w:r w:rsidR="00590738" w:rsidRPr="00091A72">
        <w:t xml:space="preserve">falling into the most disadvantaged 20% of Australians. This </w:t>
      </w:r>
      <w:r w:rsidR="008F3514">
        <w:t xml:space="preserve">means that </w:t>
      </w:r>
      <w:r w:rsidR="00590738" w:rsidRPr="00091A72">
        <w:t>64</w:t>
      </w:r>
      <w:r w:rsidR="00B77E05">
        <w:t>.0</w:t>
      </w:r>
      <w:r w:rsidR="00590738" w:rsidRPr="00091A72">
        <w:t xml:space="preserve">% of all the Group 1 individuals </w:t>
      </w:r>
      <w:r w:rsidR="008F3514">
        <w:t xml:space="preserve">aged 15-64 living in Red Hill </w:t>
      </w:r>
      <w:proofErr w:type="gramStart"/>
      <w:r w:rsidR="008F3514">
        <w:t>reside</w:t>
      </w:r>
      <w:proofErr w:type="gramEnd"/>
      <w:r w:rsidR="00590738" w:rsidRPr="00091A72">
        <w:t xml:space="preserve"> in this one collection district. </w:t>
      </w:r>
    </w:p>
    <w:p w:rsidR="00590738" w:rsidRPr="00091A72" w:rsidRDefault="00590738" w:rsidP="00590738">
      <w:r w:rsidRPr="00091A72">
        <w:t xml:space="preserve">When the suburb level SEIFA </w:t>
      </w:r>
      <w:proofErr w:type="spellStart"/>
      <w:r w:rsidRPr="00091A72">
        <w:t>decile</w:t>
      </w:r>
      <w:proofErr w:type="spellEnd"/>
      <w:r w:rsidRPr="00091A72">
        <w:t xml:space="preserve"> score of 9 is applied to Red Hill 8014903, a total of 215 individuals </w:t>
      </w:r>
      <w:r w:rsidR="006E0A00">
        <w:t xml:space="preserve">aged 15-64 </w:t>
      </w:r>
      <w:r w:rsidRPr="00091A72">
        <w:t xml:space="preserve">who experience greater relative socio-economic disadvantage are masked. </w:t>
      </w:r>
      <w:r w:rsidR="0068462E">
        <w:t>In the suburb as a whole</w:t>
      </w:r>
      <w:r w:rsidRPr="00091A72">
        <w:t xml:space="preserve">, 945 individuals </w:t>
      </w:r>
      <w:r w:rsidR="006E0A00">
        <w:t xml:space="preserve">aged 15-64 </w:t>
      </w:r>
      <w:r w:rsidRPr="00091A72">
        <w:t xml:space="preserve">living in Red Hill are not represented by the aggregate SEIFA </w:t>
      </w:r>
      <w:r w:rsidR="00677F99">
        <w:t>IRSD</w:t>
      </w:r>
      <w:r w:rsidR="00677F99" w:rsidRPr="00091A72">
        <w:t xml:space="preserve"> </w:t>
      </w:r>
      <w:r w:rsidRPr="00091A72">
        <w:t xml:space="preserve">score of the area, including 110 Group 2 individuals and 240 Group 1 individuals. </w:t>
      </w:r>
    </w:p>
    <w:p w:rsidR="00590738" w:rsidRPr="00091A72" w:rsidRDefault="00590738" w:rsidP="00590738">
      <w:r w:rsidRPr="00091A72">
        <w:t>At the collection district level, the SEIFA</w:t>
      </w:r>
      <w:r w:rsidR="00677F99">
        <w:t xml:space="preserve"> IRSD</w:t>
      </w:r>
      <w:r w:rsidRPr="00091A72">
        <w:t xml:space="preserve"> </w:t>
      </w:r>
      <w:proofErr w:type="spellStart"/>
      <w:r w:rsidRPr="00091A72">
        <w:t>decile</w:t>
      </w:r>
      <w:proofErr w:type="spellEnd"/>
      <w:r w:rsidRPr="00091A72">
        <w:t xml:space="preserve"> score for Red Hill 8014903 is 1, while the SEIFA scores for the remaining four Red Hill CDs range between 8 and 9. This range of CD-level SEIFA scores more explicitly indicates that residents in Red </w:t>
      </w:r>
      <w:r w:rsidR="006E0A00">
        <w:t>H</w:t>
      </w:r>
      <w:r w:rsidRPr="00091A72">
        <w:t xml:space="preserve">ill 8014903 do experience a significantly greater degree of socio-economic disadvantage than the residents of its neighbouring areas. At the same time, however, 105 of the 320 residents in Red Hill 8014903 </w:t>
      </w:r>
      <w:r w:rsidR="00677F99">
        <w:t>experience little to no socio-economic disadvantage.</w:t>
      </w:r>
      <w:r w:rsidRPr="00091A72">
        <w:t xml:space="preserve"> For these individuals, applying a SEIFA score of 1 is not appropriate, highlighting the need for caution when using the SEIFA scores at either the suburb or CD levels to draw conclusions about the population of an area. </w:t>
      </w:r>
    </w:p>
    <w:p w:rsidR="00590738" w:rsidRPr="008230AD" w:rsidRDefault="00590738" w:rsidP="008230AD">
      <w:pPr>
        <w:pStyle w:val="Heading4"/>
      </w:pPr>
      <w:bookmarkStart w:id="37" w:name="_Toc358033203"/>
      <w:r w:rsidRPr="008230AD">
        <w:t>Florey</w:t>
      </w:r>
      <w:bookmarkEnd w:id="37"/>
      <w:r w:rsidRPr="008230AD">
        <w:t xml:space="preserve"> </w:t>
      </w:r>
    </w:p>
    <w:p w:rsidR="00590738" w:rsidRDefault="00590738" w:rsidP="00590738">
      <w:r>
        <w:t xml:space="preserve"> In the suburb of Florey in </w:t>
      </w:r>
      <w:proofErr w:type="spellStart"/>
      <w:r>
        <w:t>Belconnen</w:t>
      </w:r>
      <w:proofErr w:type="spellEnd"/>
      <w:r>
        <w:t xml:space="preserve">, 67.9% of residents aged 15 and over participate in the labour force, </w:t>
      </w:r>
      <w:r w:rsidR="00E75AF9">
        <w:t>where</w:t>
      </w:r>
      <w:r>
        <w:t xml:space="preserve"> 4.2% are unemployed and seeking employment. </w:t>
      </w:r>
      <w:r w:rsidR="000926F1">
        <w:t>One third (</w:t>
      </w:r>
      <w:r>
        <w:t>32.4%</w:t>
      </w:r>
      <w:r w:rsidR="000926F1">
        <w:t>)</w:t>
      </w:r>
      <w:r>
        <w:t xml:space="preserve"> of this population earns less than $400 in income per week. The median weekly rent in Florey is $255, where 636 dwellings are being rented, including 240 units that are rented as public housing units through Housing and Community Services ACT</w:t>
      </w:r>
      <w:r w:rsidR="00E75AF9">
        <w:rPr>
          <w:vertAlign w:val="superscript"/>
        </w:rPr>
        <w:t>15</w:t>
      </w:r>
      <w:r>
        <w:t xml:space="preserve">. </w:t>
      </w:r>
    </w:p>
    <w:p w:rsidR="00B9682F" w:rsidRDefault="00590738" w:rsidP="00590738">
      <w:r>
        <w:t>All seven collection districts in Florey have above average Group 4 proportions of between 34</w:t>
      </w:r>
      <w:r w:rsidR="00C82070">
        <w:t>.0% and 47.7</w:t>
      </w:r>
      <w:r>
        <w:t>%, but four of these collection districts are also diverse</w:t>
      </w:r>
      <w:r w:rsidR="006242D6">
        <w:t>,</w:t>
      </w:r>
      <w:r>
        <w:t xml:space="preserve"> with Group 1 proportions of between 2</w:t>
      </w:r>
      <w:r w:rsidR="00C82070">
        <w:t>0.4</w:t>
      </w:r>
      <w:r>
        <w:t>% and 2</w:t>
      </w:r>
      <w:r w:rsidR="00C82070">
        <w:t>7.7</w:t>
      </w:r>
      <w:r w:rsidR="006242D6">
        <w:t>%. This includes Florey 8011704; b</w:t>
      </w:r>
      <w:r>
        <w:t xml:space="preserve">oth the suburb level and CD level SEIFA </w:t>
      </w:r>
      <w:proofErr w:type="spellStart"/>
      <w:r>
        <w:t>decile</w:t>
      </w:r>
      <w:proofErr w:type="spellEnd"/>
      <w:r>
        <w:t xml:space="preserve"> scores place Florey 8011704 in Group 3, indicating that the area experiences moderate socio-economic </w:t>
      </w:r>
      <w:r w:rsidR="00877350">
        <w:t xml:space="preserve">disadvantage overall. This is not the case, however for the 69 residents aged 15-64 in Group 2 </w:t>
      </w:r>
      <w:r w:rsidR="0022487D">
        <w:t>or</w:t>
      </w:r>
      <w:r w:rsidR="00877350">
        <w:t xml:space="preserve"> the 155 residents aged 15-64 in Group 1 who also live in this CD, nor does it describe the 234 residents </w:t>
      </w:r>
      <w:r w:rsidR="0022487D">
        <w:t xml:space="preserve">aged 15-64 </w:t>
      </w:r>
      <w:r w:rsidR="00877350">
        <w:t xml:space="preserve">in Group 4 who experience little or no socio-economic disadvantage. In fact, Florey 8011704 has the highest number of Group 1 individuals among the diverse </w:t>
      </w:r>
      <w:r w:rsidR="00D26DD1">
        <w:t xml:space="preserve">CDs </w:t>
      </w:r>
      <w:r w:rsidR="00877350">
        <w:t>in the ACT, accounting for 23</w:t>
      </w:r>
      <w:r w:rsidR="0022487D">
        <w:t>.2</w:t>
      </w:r>
      <w:r w:rsidR="00877350">
        <w:t xml:space="preserve">% of the Group 1 individuals </w:t>
      </w:r>
      <w:r w:rsidR="0022487D">
        <w:t xml:space="preserve">aged 15-64 </w:t>
      </w:r>
      <w:r w:rsidR="00877350">
        <w:t>in the suburb</w:t>
      </w:r>
      <w:r w:rsidR="006242D6">
        <w:t xml:space="preserve"> overall</w:t>
      </w:r>
      <w:r w:rsidR="00877350">
        <w:t>.</w:t>
      </w:r>
    </w:p>
    <w:p w:rsidR="00877350" w:rsidRDefault="00D67B26" w:rsidP="00877350">
      <w:r>
        <w:rPr>
          <w:noProof/>
          <w:lang w:val="en-AU" w:eastAsia="en-AU"/>
        </w:rPr>
        <w:pict>
          <v:shape id="_x0000_s1067" type="#_x0000_t202" style="position:absolute;margin-left:-218.8pt;margin-top:91.65pt;width:196.2pt;height:18.75pt;z-index:251730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" stroked="f">
            <v:textbox style="mso-next-textbox:#_x0000_s1067" inset="0,0,0,0">
              <w:txbxContent>
                <w:p w:rsidR="006B6874" w:rsidRPr="003610C9" w:rsidRDefault="006B6874" w:rsidP="00877350">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w:t>
                  </w:r>
                </w:p>
                <w:p w:rsidR="006B6874" w:rsidRDefault="006B6874"/>
                <w:p w:rsidR="006B6874" w:rsidRPr="003610C9" w:rsidRDefault="006B6874" w:rsidP="00877350">
                  <w:pPr>
                    <w:rPr>
                      <w:color w:val="808080" w:themeColor="background1" w:themeShade="80"/>
                      <w:sz w:val="16"/>
                      <w:szCs w:val="16"/>
                    </w:rPr>
                  </w:pPr>
                  <w:r>
                    <w:rPr>
                      <w:color w:val="808080" w:themeColor="background1" w:themeShade="80"/>
                      <w:sz w:val="16"/>
                      <w:szCs w:val="16"/>
                    </w:rPr>
                    <w:t>Source</w:t>
                  </w:r>
                  <w:r w:rsidRPr="003610C9">
                    <w:rPr>
                      <w:color w:val="808080" w:themeColor="background1" w:themeShade="80"/>
                      <w:sz w:val="16"/>
                      <w:szCs w:val="16"/>
                    </w:rPr>
                    <w:t xml:space="preserve">: </w:t>
                  </w:r>
                  <w:r>
                    <w:rPr>
                      <w:color w:val="808080" w:themeColor="background1" w:themeShade="80"/>
                      <w:sz w:val="16"/>
                      <w:szCs w:val="16"/>
                    </w:rPr>
                    <w:t>Australian Bureau of Statistics, CD-level SEIFI IRSD data for the ACT</w:t>
                  </w:r>
                </w:p>
              </w:txbxContent>
            </v:textbox>
          </v:shape>
        </w:pict>
      </w:r>
      <w:r w:rsidRPr="00D67B26">
        <w:rPr>
          <w:noProof/>
          <w:lang w:eastAsia="en-CA"/>
        </w:rPr>
        <w:pict>
          <v:shape id="Text Box 33" o:spid="_x0000_s1066" type="#_x0000_t202" style="position:absolute;margin-left:-3.85pt;margin-top:-55.25pt;width:242.35pt;height:207pt;z-index:2517299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gI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" filled="f" stroked="f">
            <v:textbox style="mso-next-textbox:#Text Box 33">
              <w:txbxContent>
                <w:p w:rsidR="006B6874" w:rsidRPr="00934E0B" w:rsidRDefault="006B6874" w:rsidP="0085538D">
                  <w:pPr>
                    <w:pStyle w:val="ListParagraph"/>
                    <w:numPr>
                      <w:ilvl w:val="0"/>
                      <w:numId w:val="44"/>
                    </w:numPr>
                    <w:ind w:left="851" w:hanging="851"/>
                    <w:rPr>
                      <w:b/>
                      <w:color w:val="244061" w:themeColor="accent1" w:themeShade="80"/>
                    </w:rPr>
                  </w:pPr>
                  <w:r w:rsidRPr="00934E0B">
                    <w:rPr>
                      <w:b/>
                      <w:color w:val="244061" w:themeColor="accent1" w:themeShade="80"/>
                    </w:rPr>
                    <w:t xml:space="preserve">SEIFA </w:t>
                  </w:r>
                  <w:r>
                    <w:rPr>
                      <w:b/>
                      <w:color w:val="244061" w:themeColor="accent1" w:themeShade="80"/>
                    </w:rPr>
                    <w:t xml:space="preserve">IRSD </w:t>
                  </w:r>
                  <w:r w:rsidRPr="00934E0B">
                    <w:rPr>
                      <w:b/>
                      <w:color w:val="244061" w:themeColor="accent1" w:themeShade="80"/>
                    </w:rPr>
                    <w:t xml:space="preserve">and SEIFI </w:t>
                  </w:r>
                  <w:r>
                    <w:rPr>
                      <w:b/>
                      <w:color w:val="244061" w:themeColor="accent1" w:themeShade="80"/>
                    </w:rPr>
                    <w:t xml:space="preserve">IRSD </w:t>
                  </w:r>
                  <w:r w:rsidRPr="00934E0B">
                    <w:rPr>
                      <w:b/>
                      <w:color w:val="244061" w:themeColor="accent1" w:themeShade="80"/>
                    </w:rPr>
                    <w:t xml:space="preserve">data, </w:t>
                  </w:r>
                  <w:r>
                    <w:rPr>
                      <w:b/>
                      <w:color w:val="244061" w:themeColor="accent1" w:themeShade="80"/>
                    </w:rPr>
                    <w:t>Suburb of Florey and Florey CD 8011704</w:t>
                  </w:r>
                </w:p>
                <w:tbl>
                  <w:tblPr>
                    <w:tblStyle w:val="MediumShading1-Accent5"/>
                    <w:tblW w:w="45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985"/>
                    <w:gridCol w:w="1276"/>
                    <w:gridCol w:w="1276"/>
                  </w:tblGrid>
                  <w:tr w:rsidR="006B6874" w:rsidRPr="00091A72" w:rsidTr="00AD327E">
                    <w:trPr>
                      <w:cnfStyle w:val="100000000000"/>
                      <w:trHeight w:val="607"/>
                    </w:trPr>
                    <w:tc>
                      <w:tcPr>
                        <w:cnfStyle w:val="001000000000"/>
                        <w:tcW w:w="1985" w:type="dxa"/>
                        <w:tcBorders>
                          <w:top w:val="nil"/>
                          <w:left w:val="nil"/>
                          <w:right w:val="single" w:sz="8" w:space="0" w:color="FFFFFF" w:themeColor="background1"/>
                        </w:tcBorders>
                        <w:shd w:val="clear" w:color="auto" w:fill="auto"/>
                      </w:tcPr>
                      <w:p w:rsidR="006B6874" w:rsidRPr="00091A72" w:rsidRDefault="006B6874" w:rsidP="00AD327E">
                        <w:pPr>
                          <w:jc w:val="center"/>
                          <w:rPr>
                            <w:color w:val="auto"/>
                            <w:sz w:val="20"/>
                            <w:szCs w:val="20"/>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091A72" w:rsidRDefault="006B6874" w:rsidP="00AD327E">
                        <w:pPr>
                          <w:spacing w:before="40" w:after="40"/>
                          <w:jc w:val="center"/>
                          <w:cnfStyle w:val="100000000000"/>
                          <w:rPr>
                            <w:b w:val="0"/>
                            <w:bCs w:val="0"/>
                            <w:color w:val="auto"/>
                            <w:sz w:val="20"/>
                            <w:szCs w:val="20"/>
                          </w:rPr>
                        </w:pPr>
                        <w:r w:rsidRPr="00091A72">
                          <w:rPr>
                            <w:b w:val="0"/>
                            <w:bCs w:val="0"/>
                            <w:color w:val="auto"/>
                            <w:sz w:val="20"/>
                            <w:szCs w:val="20"/>
                          </w:rPr>
                          <w:t xml:space="preserve">Suburb of </w:t>
                        </w:r>
                      </w:p>
                      <w:p w:rsidR="006B6874" w:rsidRPr="00091A72" w:rsidRDefault="006B6874" w:rsidP="00AD327E">
                        <w:pPr>
                          <w:spacing w:before="40" w:after="40"/>
                          <w:jc w:val="center"/>
                          <w:cnfStyle w:val="100000000000"/>
                          <w:rPr>
                            <w:b w:val="0"/>
                            <w:bCs w:val="0"/>
                            <w:color w:val="auto"/>
                            <w:sz w:val="20"/>
                            <w:szCs w:val="20"/>
                          </w:rPr>
                        </w:pPr>
                        <w:r>
                          <w:rPr>
                            <w:b w:val="0"/>
                            <w:bCs w:val="0"/>
                            <w:color w:val="auto"/>
                            <w:sz w:val="20"/>
                            <w:szCs w:val="20"/>
                          </w:rPr>
                          <w:t>Florey</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B6874" w:rsidRPr="00091A72" w:rsidRDefault="006B6874" w:rsidP="00AD327E">
                        <w:pPr>
                          <w:spacing w:before="40" w:after="40"/>
                          <w:jc w:val="center"/>
                          <w:cnfStyle w:val="100000000000"/>
                          <w:rPr>
                            <w:b w:val="0"/>
                            <w:bCs w:val="0"/>
                            <w:color w:val="auto"/>
                            <w:sz w:val="20"/>
                            <w:szCs w:val="20"/>
                          </w:rPr>
                        </w:pPr>
                        <w:r>
                          <w:rPr>
                            <w:b w:val="0"/>
                            <w:bCs w:val="0"/>
                            <w:color w:val="auto"/>
                            <w:sz w:val="20"/>
                            <w:szCs w:val="20"/>
                          </w:rPr>
                          <w:t>Florey</w:t>
                        </w:r>
                        <w:r w:rsidRPr="00091A72">
                          <w:rPr>
                            <w:b w:val="0"/>
                            <w:bCs w:val="0"/>
                            <w:color w:val="auto"/>
                            <w:sz w:val="20"/>
                            <w:szCs w:val="20"/>
                          </w:rPr>
                          <w:t xml:space="preserve"> CD 801</w:t>
                        </w:r>
                        <w:r>
                          <w:rPr>
                            <w:b w:val="0"/>
                            <w:bCs w:val="0"/>
                            <w:color w:val="auto"/>
                            <w:sz w:val="20"/>
                            <w:szCs w:val="20"/>
                          </w:rPr>
                          <w:t>1704</w:t>
                        </w:r>
                      </w:p>
                    </w:tc>
                  </w:tr>
                  <w:tr w:rsidR="006B6874" w:rsidRPr="00091A72" w:rsidTr="00AD327E">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 xml:space="preserve">SEIFA </w:t>
                        </w:r>
                        <w:proofErr w:type="spellStart"/>
                        <w:r w:rsidRPr="00091A72">
                          <w:rPr>
                            <w:b w:val="0"/>
                            <w:bCs w:val="0"/>
                            <w:sz w:val="20"/>
                            <w:szCs w:val="20"/>
                          </w:rPr>
                          <w:t>decile</w:t>
                        </w:r>
                        <w:proofErr w:type="spellEnd"/>
                        <w:r w:rsidRPr="00091A72">
                          <w:rPr>
                            <w:b w:val="0"/>
                            <w:bCs w:val="0"/>
                            <w:sz w:val="20"/>
                            <w:szCs w:val="20"/>
                          </w:rPr>
                          <w:t xml:space="preserve"> score</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100000"/>
                          <w:rPr>
                            <w:sz w:val="20"/>
                            <w:szCs w:val="20"/>
                          </w:rPr>
                        </w:pPr>
                        <w:r>
                          <w:rPr>
                            <w:sz w:val="20"/>
                            <w:szCs w:val="20"/>
                          </w:rPr>
                          <w:t>7</w:t>
                        </w:r>
                      </w:p>
                    </w:tc>
                    <w:tc>
                      <w:tcPr>
                        <w:tcW w:w="1276" w:type="dxa"/>
                        <w:tcBorders>
                          <w:left w:val="single" w:sz="8" w:space="0" w:color="FFFFFF" w:themeColor="background1"/>
                        </w:tcBorders>
                        <w:vAlign w:val="center"/>
                      </w:tcPr>
                      <w:p w:rsidR="006B6874" w:rsidRPr="00091A72" w:rsidRDefault="006B6874" w:rsidP="00AD327E">
                        <w:pPr>
                          <w:jc w:val="center"/>
                          <w:cnfStyle w:val="000000100000"/>
                          <w:rPr>
                            <w:bCs/>
                            <w:sz w:val="20"/>
                            <w:szCs w:val="20"/>
                          </w:rPr>
                        </w:pPr>
                        <w:r>
                          <w:rPr>
                            <w:bCs/>
                            <w:sz w:val="20"/>
                            <w:szCs w:val="20"/>
                          </w:rPr>
                          <w:t>6</w:t>
                        </w:r>
                      </w:p>
                    </w:tc>
                  </w:tr>
                  <w:tr w:rsidR="006B6874" w:rsidRPr="00091A72" w:rsidTr="00AD327E">
                    <w:trPr>
                      <w:cnfStyle w:val="000000010000"/>
                      <w:trHeight w:val="251"/>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Usual Resident Pop.</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010000"/>
                          <w:rPr>
                            <w:sz w:val="20"/>
                            <w:szCs w:val="20"/>
                          </w:rPr>
                        </w:pPr>
                        <w:r>
                          <w:rPr>
                            <w:sz w:val="20"/>
                            <w:szCs w:val="20"/>
                          </w:rPr>
                          <w:t>5,107</w:t>
                        </w:r>
                      </w:p>
                    </w:tc>
                    <w:tc>
                      <w:tcPr>
                        <w:tcW w:w="1276" w:type="dxa"/>
                        <w:tcBorders>
                          <w:left w:val="single" w:sz="8" w:space="0" w:color="FFFFFF" w:themeColor="background1"/>
                        </w:tcBorders>
                        <w:vAlign w:val="center"/>
                      </w:tcPr>
                      <w:p w:rsidR="006B6874" w:rsidRPr="00091A72" w:rsidRDefault="006B6874" w:rsidP="00AD327E">
                        <w:pPr>
                          <w:jc w:val="center"/>
                          <w:cnfStyle w:val="000000010000"/>
                          <w:rPr>
                            <w:bCs/>
                            <w:sz w:val="20"/>
                            <w:szCs w:val="20"/>
                          </w:rPr>
                        </w:pPr>
                        <w:r>
                          <w:rPr>
                            <w:bCs/>
                            <w:sz w:val="20"/>
                            <w:szCs w:val="20"/>
                          </w:rPr>
                          <w:t>894</w:t>
                        </w:r>
                      </w:p>
                    </w:tc>
                  </w:tr>
                  <w:tr w:rsidR="006B6874" w:rsidRPr="00091A72" w:rsidTr="00AD327E">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15 to 64 Aged Pop.</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100000"/>
                          <w:rPr>
                            <w:sz w:val="20"/>
                            <w:szCs w:val="20"/>
                          </w:rPr>
                        </w:pPr>
                        <w:r>
                          <w:rPr>
                            <w:sz w:val="20"/>
                            <w:szCs w:val="20"/>
                          </w:rPr>
                          <w:t>3,715</w:t>
                        </w:r>
                      </w:p>
                    </w:tc>
                    <w:tc>
                      <w:tcPr>
                        <w:tcW w:w="1276" w:type="dxa"/>
                        <w:tcBorders>
                          <w:left w:val="single" w:sz="8" w:space="0" w:color="FFFFFF" w:themeColor="background1"/>
                        </w:tcBorders>
                        <w:vAlign w:val="center"/>
                      </w:tcPr>
                      <w:p w:rsidR="006B6874" w:rsidRPr="00091A72" w:rsidRDefault="006B6874" w:rsidP="00AD327E">
                        <w:pPr>
                          <w:jc w:val="center"/>
                          <w:cnfStyle w:val="000000100000"/>
                          <w:rPr>
                            <w:bCs/>
                            <w:sz w:val="20"/>
                            <w:szCs w:val="20"/>
                          </w:rPr>
                        </w:pPr>
                        <w:r>
                          <w:rPr>
                            <w:bCs/>
                            <w:sz w:val="20"/>
                            <w:szCs w:val="20"/>
                          </w:rPr>
                          <w:t>648</w:t>
                        </w:r>
                      </w:p>
                    </w:tc>
                  </w:tr>
                  <w:tr w:rsidR="006B6874" w:rsidRPr="00091A72" w:rsidTr="00AD327E">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SEIFI Group 1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010000"/>
                          <w:rPr>
                            <w:sz w:val="20"/>
                            <w:szCs w:val="20"/>
                          </w:rPr>
                        </w:pPr>
                        <w:r>
                          <w:rPr>
                            <w:sz w:val="20"/>
                            <w:szCs w:val="20"/>
                          </w:rPr>
                          <w:t>18.0%</w:t>
                        </w:r>
                      </w:p>
                    </w:tc>
                    <w:tc>
                      <w:tcPr>
                        <w:tcW w:w="1276" w:type="dxa"/>
                        <w:tcBorders>
                          <w:left w:val="single" w:sz="8" w:space="0" w:color="FFFFFF" w:themeColor="background1"/>
                        </w:tcBorders>
                        <w:vAlign w:val="center"/>
                      </w:tcPr>
                      <w:p w:rsidR="006B6874" w:rsidRPr="00091A72" w:rsidRDefault="006B6874" w:rsidP="00AD327E">
                        <w:pPr>
                          <w:jc w:val="center"/>
                          <w:cnfStyle w:val="000000010000"/>
                          <w:rPr>
                            <w:bCs/>
                            <w:sz w:val="20"/>
                            <w:szCs w:val="20"/>
                          </w:rPr>
                        </w:pPr>
                        <w:r>
                          <w:rPr>
                            <w:bCs/>
                            <w:sz w:val="20"/>
                            <w:szCs w:val="20"/>
                          </w:rPr>
                          <w:t>23.9%</w:t>
                        </w:r>
                      </w:p>
                    </w:tc>
                  </w:tr>
                  <w:tr w:rsidR="006B6874" w:rsidRPr="00091A72" w:rsidTr="00AD327E">
                    <w:trPr>
                      <w:cnfStyle w:val="00000010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SEIFI Group 2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100000"/>
                          <w:rPr>
                            <w:sz w:val="20"/>
                            <w:szCs w:val="20"/>
                          </w:rPr>
                        </w:pPr>
                        <w:r>
                          <w:rPr>
                            <w:sz w:val="20"/>
                            <w:szCs w:val="20"/>
                          </w:rPr>
                          <w:t>11.5%</w:t>
                        </w:r>
                      </w:p>
                    </w:tc>
                    <w:tc>
                      <w:tcPr>
                        <w:tcW w:w="1276" w:type="dxa"/>
                        <w:tcBorders>
                          <w:left w:val="single" w:sz="8" w:space="0" w:color="FFFFFF" w:themeColor="background1"/>
                        </w:tcBorders>
                        <w:vAlign w:val="center"/>
                      </w:tcPr>
                      <w:p w:rsidR="006B6874" w:rsidRPr="00091A72" w:rsidRDefault="006B6874" w:rsidP="00AD327E">
                        <w:pPr>
                          <w:jc w:val="center"/>
                          <w:cnfStyle w:val="000000100000"/>
                          <w:rPr>
                            <w:bCs/>
                            <w:sz w:val="20"/>
                            <w:szCs w:val="20"/>
                          </w:rPr>
                        </w:pPr>
                        <w:r>
                          <w:rPr>
                            <w:bCs/>
                            <w:sz w:val="20"/>
                            <w:szCs w:val="20"/>
                          </w:rPr>
                          <w:t>10.6%</w:t>
                        </w:r>
                      </w:p>
                    </w:tc>
                  </w:tr>
                  <w:tr w:rsidR="006B6874" w:rsidRPr="00091A72" w:rsidTr="00AD327E">
                    <w:trPr>
                      <w:cnfStyle w:val="000000010000"/>
                      <w:trHeight w:val="267"/>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SEIFI Group 3 (%)</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010000"/>
                          <w:rPr>
                            <w:sz w:val="20"/>
                            <w:szCs w:val="20"/>
                          </w:rPr>
                        </w:pPr>
                        <w:r>
                          <w:rPr>
                            <w:sz w:val="20"/>
                            <w:szCs w:val="20"/>
                          </w:rPr>
                          <w:t>31.6%</w:t>
                        </w:r>
                      </w:p>
                    </w:tc>
                    <w:tc>
                      <w:tcPr>
                        <w:tcW w:w="1276" w:type="dxa"/>
                        <w:tcBorders>
                          <w:left w:val="single" w:sz="8" w:space="0" w:color="FFFFFF" w:themeColor="background1"/>
                        </w:tcBorders>
                        <w:vAlign w:val="center"/>
                      </w:tcPr>
                      <w:p w:rsidR="006B6874" w:rsidRPr="00091A72" w:rsidRDefault="006B6874" w:rsidP="00AD327E">
                        <w:pPr>
                          <w:jc w:val="center"/>
                          <w:cnfStyle w:val="000000010000"/>
                          <w:rPr>
                            <w:bCs/>
                            <w:sz w:val="20"/>
                            <w:szCs w:val="20"/>
                          </w:rPr>
                        </w:pPr>
                        <w:r>
                          <w:rPr>
                            <w:bCs/>
                            <w:sz w:val="20"/>
                            <w:szCs w:val="20"/>
                          </w:rPr>
                          <w:t>29.4%</w:t>
                        </w:r>
                      </w:p>
                    </w:tc>
                  </w:tr>
                  <w:tr w:rsidR="006B6874" w:rsidRPr="00091A72" w:rsidTr="00AD327E">
                    <w:trPr>
                      <w:cnfStyle w:val="000000100000"/>
                      <w:trHeight w:val="72"/>
                    </w:trPr>
                    <w:tc>
                      <w:tcPr>
                        <w:cnfStyle w:val="001000000000"/>
                        <w:tcW w:w="1985" w:type="dxa"/>
                        <w:tcBorders>
                          <w:bottom w:val="single" w:sz="8" w:space="0" w:color="FFFFFF" w:themeColor="background1"/>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SEIFI Group 4 (%)</w:t>
                        </w:r>
                      </w:p>
                    </w:tc>
                    <w:tc>
                      <w:tcPr>
                        <w:tcW w:w="1276" w:type="dxa"/>
                        <w:tcBorders>
                          <w:left w:val="single" w:sz="8" w:space="0" w:color="FFFFFF" w:themeColor="background1"/>
                          <w:bottom w:val="single" w:sz="8" w:space="0" w:color="FFFFFF" w:themeColor="background1"/>
                          <w:right w:val="single" w:sz="8" w:space="0" w:color="FFFFFF" w:themeColor="background1"/>
                        </w:tcBorders>
                        <w:vAlign w:val="center"/>
                      </w:tcPr>
                      <w:p w:rsidR="006B6874" w:rsidRPr="00091A72" w:rsidRDefault="006B6874" w:rsidP="00AD327E">
                        <w:pPr>
                          <w:jc w:val="center"/>
                          <w:cnfStyle w:val="000000100000"/>
                          <w:rPr>
                            <w:sz w:val="20"/>
                            <w:szCs w:val="20"/>
                          </w:rPr>
                        </w:pPr>
                        <w:r>
                          <w:rPr>
                            <w:sz w:val="20"/>
                            <w:szCs w:val="20"/>
                          </w:rPr>
                          <w:t>38.8%</w:t>
                        </w:r>
                      </w:p>
                    </w:tc>
                    <w:tc>
                      <w:tcPr>
                        <w:tcW w:w="1276" w:type="dxa"/>
                        <w:tcBorders>
                          <w:left w:val="single" w:sz="8" w:space="0" w:color="FFFFFF" w:themeColor="background1"/>
                          <w:bottom w:val="single" w:sz="8" w:space="0" w:color="FFFFFF" w:themeColor="background1"/>
                        </w:tcBorders>
                        <w:vAlign w:val="center"/>
                      </w:tcPr>
                      <w:p w:rsidR="006B6874" w:rsidRPr="00091A72" w:rsidRDefault="006B6874" w:rsidP="00AD327E">
                        <w:pPr>
                          <w:jc w:val="center"/>
                          <w:cnfStyle w:val="000000100000"/>
                          <w:rPr>
                            <w:bCs/>
                            <w:sz w:val="20"/>
                            <w:szCs w:val="20"/>
                          </w:rPr>
                        </w:pPr>
                        <w:r>
                          <w:rPr>
                            <w:bCs/>
                            <w:sz w:val="20"/>
                            <w:szCs w:val="20"/>
                          </w:rPr>
                          <w:t>36.0%</w:t>
                        </w:r>
                      </w:p>
                    </w:tc>
                  </w:tr>
                  <w:tr w:rsidR="006B6874" w:rsidRPr="00091A72" w:rsidTr="00AD327E">
                    <w:trPr>
                      <w:cnfStyle w:val="000000010000"/>
                      <w:trHeight w:val="72"/>
                    </w:trPr>
                    <w:tc>
                      <w:tcPr>
                        <w:cnfStyle w:val="001000000000"/>
                        <w:tcW w:w="1985" w:type="dxa"/>
                        <w:tcBorders>
                          <w:right w:val="single" w:sz="8" w:space="0" w:color="FFFFFF" w:themeColor="background1"/>
                        </w:tcBorders>
                        <w:shd w:val="clear" w:color="auto" w:fill="4BACC6" w:themeFill="accent5"/>
                        <w:vAlign w:val="center"/>
                      </w:tcPr>
                      <w:p w:rsidR="006B6874" w:rsidRPr="00091A72" w:rsidRDefault="006B6874" w:rsidP="00AD327E">
                        <w:pPr>
                          <w:jc w:val="center"/>
                          <w:rPr>
                            <w:b w:val="0"/>
                            <w:bCs w:val="0"/>
                            <w:sz w:val="20"/>
                            <w:szCs w:val="20"/>
                          </w:rPr>
                        </w:pPr>
                        <w:r w:rsidRPr="00091A72">
                          <w:rPr>
                            <w:b w:val="0"/>
                            <w:bCs w:val="0"/>
                            <w:sz w:val="20"/>
                            <w:szCs w:val="20"/>
                          </w:rPr>
                          <w:t xml:space="preserve"> No. of CDs</w:t>
                        </w:r>
                      </w:p>
                    </w:tc>
                    <w:tc>
                      <w:tcPr>
                        <w:tcW w:w="1276" w:type="dxa"/>
                        <w:tcBorders>
                          <w:right w:val="single" w:sz="8" w:space="0" w:color="FFFFFF" w:themeColor="background1"/>
                        </w:tcBorders>
                        <w:vAlign w:val="center"/>
                      </w:tcPr>
                      <w:p w:rsidR="006B6874" w:rsidRPr="00091A72" w:rsidRDefault="006B6874" w:rsidP="00AD327E">
                        <w:pPr>
                          <w:jc w:val="center"/>
                          <w:cnfStyle w:val="000000010000"/>
                          <w:rPr>
                            <w:sz w:val="20"/>
                            <w:szCs w:val="20"/>
                          </w:rPr>
                        </w:pPr>
                        <w:r>
                          <w:rPr>
                            <w:sz w:val="20"/>
                            <w:szCs w:val="20"/>
                          </w:rPr>
                          <w:t>7</w:t>
                        </w:r>
                      </w:p>
                    </w:tc>
                    <w:tc>
                      <w:tcPr>
                        <w:tcW w:w="1276" w:type="dxa"/>
                        <w:tcBorders>
                          <w:left w:val="single" w:sz="8" w:space="0" w:color="FFFFFF" w:themeColor="background1"/>
                          <w:right w:val="single" w:sz="8" w:space="0" w:color="FFFFFF" w:themeColor="background1"/>
                        </w:tcBorders>
                        <w:vAlign w:val="center"/>
                      </w:tcPr>
                      <w:p w:rsidR="006B6874" w:rsidRPr="00091A72" w:rsidRDefault="006B6874" w:rsidP="00AD327E">
                        <w:pPr>
                          <w:jc w:val="center"/>
                          <w:cnfStyle w:val="000000010000"/>
                          <w:rPr>
                            <w:bCs/>
                            <w:sz w:val="20"/>
                            <w:szCs w:val="20"/>
                          </w:rPr>
                        </w:pPr>
                      </w:p>
                    </w:tc>
                  </w:tr>
                </w:tbl>
                <w:p w:rsidR="006B6874" w:rsidRDefault="006B6874"/>
                <w:p w:rsidR="006B6874" w:rsidRPr="00AD327E" w:rsidRDefault="006B6874" w:rsidP="00AD327E">
                  <w:pPr>
                    <w:rPr>
                      <w:b/>
                      <w:color w:val="244061" w:themeColor="accent1" w:themeShade="80"/>
                    </w:rPr>
                  </w:pPr>
                </w:p>
              </w:txbxContent>
            </v:textbox>
            <w10:wrap type="square"/>
          </v:shape>
        </w:pict>
      </w:r>
      <w:r w:rsidR="00877350">
        <w:t xml:space="preserve">Interestingly, a greater number of disadvantaged individuals are hidden at the CD level </w:t>
      </w:r>
      <w:r w:rsidR="006242D6">
        <w:t xml:space="preserve">in Florey than when aggregated to </w:t>
      </w:r>
      <w:r w:rsidR="00877350">
        <w:t xml:space="preserve">the suburb level. With </w:t>
      </w:r>
      <w:r w:rsidR="00877350">
        <w:lastRenderedPageBreak/>
        <w:t xml:space="preserve">CD SEIFA </w:t>
      </w:r>
      <w:r w:rsidR="00340A0B">
        <w:t xml:space="preserve">IRSD </w:t>
      </w:r>
      <w:r w:rsidR="00877350">
        <w:t xml:space="preserve">scores ranging from 3 to 9, a total of 1588 individuals </w:t>
      </w:r>
      <w:r w:rsidR="0022487D">
        <w:t xml:space="preserve">aged 15-64 </w:t>
      </w:r>
      <w:r w:rsidR="00877350">
        <w:t>are masked at the collection district level, compared to 1098 individuals</w:t>
      </w:r>
      <w:r w:rsidR="0022487D">
        <w:t xml:space="preserve"> aged 15-64</w:t>
      </w:r>
      <w:r w:rsidR="00877350">
        <w:t xml:space="preserve"> who are masked by SEIFA at the suburb level. This phenomenon is sometimes observed among </w:t>
      </w:r>
      <w:r w:rsidR="00340A0B">
        <w:t>populous</w:t>
      </w:r>
      <w:r w:rsidR="00877350">
        <w:t xml:space="preserve"> suburbs with Group 3 SEIFA scores, and serves to highlight again the need for caution when using SEIFA scores</w:t>
      </w:r>
      <w:r w:rsidR="00340A0B">
        <w:t>, aggregated or otherwise,</w:t>
      </w:r>
      <w:r w:rsidR="00877350">
        <w:t xml:space="preserve"> as a proxy measure for individual</w:t>
      </w:r>
      <w:r w:rsidR="00340A0B">
        <w:t>-level</w:t>
      </w:r>
      <w:r w:rsidR="00877350">
        <w:t xml:space="preserve"> disadvantage. </w:t>
      </w:r>
    </w:p>
    <w:p w:rsidR="00590738" w:rsidRPr="008230AD" w:rsidRDefault="00590738" w:rsidP="008230AD">
      <w:pPr>
        <w:pStyle w:val="Heading4"/>
      </w:pPr>
      <w:bookmarkStart w:id="38" w:name="_Toc358033204"/>
      <w:r w:rsidRPr="008230AD">
        <w:t>Reid</w:t>
      </w:r>
      <w:bookmarkEnd w:id="38"/>
      <w:r w:rsidRPr="008230AD">
        <w:t xml:space="preserve"> </w:t>
      </w:r>
    </w:p>
    <w:p w:rsidR="00590738"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SEIFA</w:t>
      </w:r>
      <w:r w:rsidR="005D1D0B">
        <w:rPr>
          <w:b/>
          <w:color w:val="244061" w:themeColor="accent1" w:themeShade="80"/>
        </w:rPr>
        <w:t xml:space="preserve"> IRSD</w:t>
      </w:r>
      <w:r w:rsidRPr="007113B5">
        <w:rPr>
          <w:b/>
          <w:color w:val="244061" w:themeColor="accent1" w:themeShade="80"/>
        </w:rPr>
        <w:t xml:space="preserve"> and SEIFI </w:t>
      </w:r>
      <w:r w:rsidR="005D1D0B">
        <w:rPr>
          <w:b/>
          <w:color w:val="244061" w:themeColor="accent1" w:themeShade="80"/>
        </w:rPr>
        <w:t xml:space="preserve">IRSD </w:t>
      </w:r>
      <w:r w:rsidRPr="007113B5">
        <w:rPr>
          <w:b/>
          <w:color w:val="244061" w:themeColor="accent1" w:themeShade="80"/>
        </w:rPr>
        <w:t xml:space="preserve">data, Suburb of </w:t>
      </w:r>
      <w:r>
        <w:rPr>
          <w:b/>
          <w:color w:val="244061" w:themeColor="accent1" w:themeShade="80"/>
        </w:rPr>
        <w:t>Reid</w:t>
      </w:r>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5</w:t>
            </w:r>
          </w:p>
        </w:tc>
        <w:tc>
          <w:tcPr>
            <w:tcW w:w="1237" w:type="dxa"/>
            <w:tcBorders>
              <w:left w:val="none" w:sz="0" w:space="0" w:color="auto"/>
              <w:right w:val="none" w:sz="0" w:space="0" w:color="auto"/>
            </w:tcBorders>
          </w:tcPr>
          <w:p w:rsidR="00590738" w:rsidRDefault="00590738" w:rsidP="00AA1B9F">
            <w:pPr>
              <w:jc w:val="center"/>
            </w:pPr>
            <w:r>
              <w:t>1,605</w:t>
            </w:r>
          </w:p>
        </w:tc>
        <w:tc>
          <w:tcPr>
            <w:tcW w:w="1236" w:type="dxa"/>
            <w:tcBorders>
              <w:left w:val="none" w:sz="0" w:space="0" w:color="auto"/>
              <w:right w:val="none" w:sz="0" w:space="0" w:color="auto"/>
            </w:tcBorders>
          </w:tcPr>
          <w:p w:rsidR="00590738" w:rsidRDefault="00590738" w:rsidP="00AA1B9F">
            <w:pPr>
              <w:jc w:val="center"/>
            </w:pPr>
            <w:r>
              <w:t>1,248</w:t>
            </w:r>
          </w:p>
        </w:tc>
        <w:tc>
          <w:tcPr>
            <w:tcW w:w="1235" w:type="dxa"/>
            <w:tcBorders>
              <w:left w:val="none" w:sz="0" w:space="0" w:color="auto"/>
              <w:right w:val="none" w:sz="0" w:space="0" w:color="auto"/>
            </w:tcBorders>
          </w:tcPr>
          <w:p w:rsidR="00590738" w:rsidRDefault="004E27C0" w:rsidP="00AA1B9F">
            <w:pPr>
              <w:jc w:val="center"/>
            </w:pPr>
            <w:r>
              <w:t>22.5</w:t>
            </w:r>
            <w:r w:rsidR="00590738">
              <w:t>%</w:t>
            </w:r>
          </w:p>
        </w:tc>
        <w:tc>
          <w:tcPr>
            <w:tcW w:w="1235" w:type="dxa"/>
            <w:tcBorders>
              <w:left w:val="none" w:sz="0" w:space="0" w:color="auto"/>
              <w:right w:val="none" w:sz="0" w:space="0" w:color="auto"/>
            </w:tcBorders>
          </w:tcPr>
          <w:p w:rsidR="00590738" w:rsidRDefault="00590738" w:rsidP="00AA1B9F">
            <w:pPr>
              <w:jc w:val="center"/>
            </w:pPr>
            <w:r>
              <w:t>3</w:t>
            </w:r>
            <w:r w:rsidR="004E27C0">
              <w:t>.4</w:t>
            </w:r>
            <w:r>
              <w:t>%</w:t>
            </w:r>
          </w:p>
        </w:tc>
        <w:tc>
          <w:tcPr>
            <w:tcW w:w="1235" w:type="dxa"/>
            <w:tcBorders>
              <w:left w:val="none" w:sz="0" w:space="0" w:color="auto"/>
              <w:right w:val="none" w:sz="0" w:space="0" w:color="auto"/>
            </w:tcBorders>
          </w:tcPr>
          <w:p w:rsidR="00590738" w:rsidRDefault="00590738" w:rsidP="00AA1B9F">
            <w:pPr>
              <w:jc w:val="center"/>
            </w:pPr>
            <w:r>
              <w:t>18</w:t>
            </w:r>
            <w:r w:rsidR="004E27C0">
              <w:t>.5</w:t>
            </w:r>
            <w:r>
              <w:t>%</w:t>
            </w:r>
          </w:p>
        </w:tc>
        <w:tc>
          <w:tcPr>
            <w:tcW w:w="1235" w:type="dxa"/>
            <w:tcBorders>
              <w:left w:val="none" w:sz="0" w:space="0" w:color="auto"/>
              <w:right w:val="none" w:sz="0" w:space="0" w:color="auto"/>
            </w:tcBorders>
          </w:tcPr>
          <w:p w:rsidR="00590738" w:rsidRDefault="004E27C0" w:rsidP="00AA1B9F">
            <w:pPr>
              <w:jc w:val="center"/>
            </w:pPr>
            <w:r>
              <w:t>55.6</w:t>
            </w:r>
            <w:r w:rsidR="00590738">
              <w:t>%</w:t>
            </w:r>
          </w:p>
        </w:tc>
        <w:tc>
          <w:tcPr>
            <w:tcW w:w="1024" w:type="dxa"/>
            <w:tcBorders>
              <w:left w:val="none" w:sz="0" w:space="0" w:color="auto"/>
            </w:tcBorders>
          </w:tcPr>
          <w:p w:rsidR="00590738" w:rsidRDefault="00590738" w:rsidP="00AA1B9F">
            <w:pPr>
              <w:jc w:val="center"/>
            </w:pPr>
            <w:r>
              <w:t>4</w:t>
            </w:r>
          </w:p>
        </w:tc>
      </w:tr>
    </w:tbl>
    <w:p w:rsidR="004E27C0" w:rsidRDefault="00590738" w:rsidP="00590738">
      <w:pPr>
        <w:spacing w:before="240"/>
      </w:pPr>
      <w:r>
        <w:t xml:space="preserve">The suburb of Reid in North Canberra is one of the few suburbs that </w:t>
      </w:r>
      <w:r w:rsidR="004E27C0">
        <w:t>continue to exhibit diversity</w:t>
      </w:r>
      <w:r>
        <w:t xml:space="preserve"> when SEIFI</w:t>
      </w:r>
      <w:r w:rsidR="004E27C0" w:rsidRPr="004E27C0">
        <w:t xml:space="preserve"> </w:t>
      </w:r>
      <w:r w:rsidR="004E27C0">
        <w:t>IRSD</w:t>
      </w:r>
      <w:r>
        <w:t xml:space="preserve"> is aggregated to the suburb level. While the majority of diverse ACT suburbs including Reid have comparable Group 3 </w:t>
      </w:r>
      <w:r w:rsidR="004E27C0">
        <w:t>SEIFI IRSD proportions</w:t>
      </w:r>
      <w:r>
        <w:t xml:space="preserve">, the Group 1 and Group 4 proportions in Reid have the greatest deviations from the average. Reid is home to 1248 residents aged 15 to </w:t>
      </w:r>
      <w:r w:rsidR="00595684">
        <w:t>64, of which 694 individuals (55.6</w:t>
      </w:r>
      <w:r>
        <w:t>%) experience little to no relative disadvantage and fall into the least disadvantaged group across Australia. At the s</w:t>
      </w:r>
      <w:r w:rsidR="00595684">
        <w:t>ame time, 281 Reid residents (22.5</w:t>
      </w:r>
      <w:r>
        <w:t xml:space="preserve">%) fall into the most disadvantaged group of Australians.  </w:t>
      </w:r>
    </w:p>
    <w:p w:rsidR="00590738" w:rsidRDefault="00590738" w:rsidP="00590738">
      <w:pPr>
        <w:spacing w:before="240"/>
      </w:pPr>
      <w:r>
        <w:t>When the characteristics of these large but divergent segments of the local population are averaged for SEIFA</w:t>
      </w:r>
      <w:r w:rsidR="004E27C0">
        <w:t xml:space="preserve"> IRSD</w:t>
      </w:r>
      <w:r>
        <w:t xml:space="preserve">, the resulting </w:t>
      </w:r>
      <w:proofErr w:type="spellStart"/>
      <w:r>
        <w:t>decile</w:t>
      </w:r>
      <w:proofErr w:type="spellEnd"/>
      <w:r>
        <w:t xml:space="preserve"> score of 5 indicates that Reid experiences a moderate extent of relative disadvantage overall</w:t>
      </w:r>
      <w:r w:rsidR="00BC4685">
        <w:t>. This</w:t>
      </w:r>
      <w:r>
        <w:t xml:space="preserve"> does not reflect the 324 i</w:t>
      </w:r>
      <w:r w:rsidR="00595684">
        <w:t>ndividuals aged 15-64 (25.9</w:t>
      </w:r>
      <w:r>
        <w:t xml:space="preserve">%) who fall into Groups 1 and 2, </w:t>
      </w:r>
      <w:r w:rsidRPr="00372E15">
        <w:t>nor does it reflect the fact that their direct neighbours are among the least disadvantaged</w:t>
      </w:r>
      <w:r w:rsidR="00595684">
        <w:t xml:space="preserve"> individuals in Australia</w:t>
      </w:r>
      <w:r>
        <w:t>.</w:t>
      </w:r>
      <w:r w:rsidRPr="00372E15">
        <w:t xml:space="preserve"> </w:t>
      </w:r>
      <w:r>
        <w:t xml:space="preserve">With </w:t>
      </w:r>
      <w:r w:rsidRPr="003D3C0D">
        <w:t xml:space="preserve">Group 1 proportions </w:t>
      </w:r>
      <w:proofErr w:type="gramStart"/>
      <w:r w:rsidRPr="003D3C0D">
        <w:t>of  between</w:t>
      </w:r>
      <w:proofErr w:type="gramEnd"/>
      <w:r w:rsidRPr="003D3C0D">
        <w:t xml:space="preserve"> 27</w:t>
      </w:r>
      <w:r w:rsidR="00595684">
        <w:t>.0</w:t>
      </w:r>
      <w:r w:rsidRPr="003D3C0D">
        <w:t>% and 41</w:t>
      </w:r>
      <w:r w:rsidR="00595684">
        <w:t>.4</w:t>
      </w:r>
      <w:r w:rsidRPr="003D3C0D">
        <w:t>%  and Group 4 proportions of between 38</w:t>
      </w:r>
      <w:r w:rsidR="00595684">
        <w:t>.3</w:t>
      </w:r>
      <w:r w:rsidRPr="003D3C0D">
        <w:t>% and 56</w:t>
      </w:r>
      <w:r w:rsidR="00595684">
        <w:t>.0</w:t>
      </w:r>
      <w:r w:rsidRPr="003D3C0D">
        <w:t>%</w:t>
      </w:r>
      <w:r>
        <w:t>, the three diverse collection districts in Reid are collectively home to 2</w:t>
      </w:r>
      <w:r w:rsidR="00595684">
        <w:t>58</w:t>
      </w:r>
      <w:r>
        <w:t xml:space="preserve"> or </w:t>
      </w:r>
      <w:r w:rsidR="00C15E0A">
        <w:t>79.8</w:t>
      </w:r>
      <w:r>
        <w:t>% of those</w:t>
      </w:r>
      <w:r w:rsidR="00BC4685">
        <w:t xml:space="preserve"> </w:t>
      </w:r>
      <w:r>
        <w:t xml:space="preserve"> disadvantaged individuals</w:t>
      </w:r>
      <w:r w:rsidR="00C15E0A">
        <w:t xml:space="preserve"> aged 15-64</w:t>
      </w:r>
      <w:r>
        <w:t xml:space="preserve"> who are</w:t>
      </w:r>
      <w:r w:rsidR="00C15E0A">
        <w:t xml:space="preserve"> hidden at the suburb level, </w:t>
      </w:r>
      <w:r w:rsidR="00BC4685">
        <w:t>as well as</w:t>
      </w:r>
      <w:r>
        <w:t xml:space="preserve"> 366 or 5</w:t>
      </w:r>
      <w:r w:rsidR="00C15E0A">
        <w:t>2.6</w:t>
      </w:r>
      <w:r>
        <w:t xml:space="preserve">% of the </w:t>
      </w:r>
      <w:r w:rsidR="00BC4685">
        <w:t>15 to 64 year olds</w:t>
      </w:r>
      <w:r w:rsidR="00C15E0A">
        <w:t xml:space="preserve"> in </w:t>
      </w:r>
      <w:r w:rsidR="00D26DD1">
        <w:t xml:space="preserve">Group 4 in </w:t>
      </w:r>
      <w:r>
        <w:t xml:space="preserve">the suburb. </w:t>
      </w:r>
    </w:p>
    <w:p w:rsidR="008230AD" w:rsidRDefault="00BE29B6">
      <w:r>
        <w:t>The diversity of the residents of Reid is</w:t>
      </w:r>
      <w:r w:rsidR="00EB7EA8">
        <w:t xml:space="preserve"> also</w:t>
      </w:r>
      <w:r>
        <w:t xml:space="preserve"> difficult to express using other sources of population data. </w:t>
      </w:r>
      <w:r w:rsidR="00590738">
        <w:t xml:space="preserve">Information from the 2006 Census indicates that 49.9% of the population aged 15 years and over participates in the labour force but that 7.9% are </w:t>
      </w:r>
      <w:r w:rsidR="00EB7EA8">
        <w:t>unemployed and looking for work. This is</w:t>
      </w:r>
      <w:r w:rsidR="00590738">
        <w:t xml:space="preserve"> the highest rate of unemployment of the suburbs highlighted in this report</w:t>
      </w:r>
      <w:r w:rsidR="00EB7EA8">
        <w:t>,</w:t>
      </w:r>
      <w:r w:rsidR="00590738">
        <w:t xml:space="preserve"> and </w:t>
      </w:r>
      <w:r w:rsidR="00EB7EA8">
        <w:t xml:space="preserve">is </w:t>
      </w:r>
      <w:r w:rsidR="00590738">
        <w:t xml:space="preserve">4.5% greater than the Territory-wide unemployment rate of 3.4%. Median rent is only $122 per week and 375 dwellings are rented, 217 of which are public housing units. While this data is indicative of some higher relative disadvantage, these values would </w:t>
      </w:r>
      <w:r w:rsidR="00E437A4">
        <w:t xml:space="preserve">also </w:t>
      </w:r>
      <w:r w:rsidR="00590738">
        <w:t>be skewed by the large proportions of both the most and least disadvantaged c</w:t>
      </w:r>
      <w:r w:rsidR="007D076E">
        <w:t>o</w:t>
      </w:r>
      <w:r w:rsidR="00590738">
        <w:t>horts of Australians</w:t>
      </w:r>
      <w:r w:rsidR="00EB7EA8">
        <w:rPr>
          <w:vertAlign w:val="superscript"/>
        </w:rPr>
        <w:t>16</w:t>
      </w:r>
      <w:r w:rsidR="00590738">
        <w:t xml:space="preserve">. </w:t>
      </w:r>
      <w:r w:rsidR="00BC4685">
        <w:t xml:space="preserve">The breadth of relative individual-level socio-economic disadvantage in this geographical area can captured </w:t>
      </w:r>
      <w:r w:rsidR="00EB7EA8">
        <w:t xml:space="preserve">more meaningfully </w:t>
      </w:r>
      <w:r w:rsidR="00BC4685">
        <w:t>with the more descriptive SEIFI IRSD index.</w:t>
      </w:r>
      <w:r w:rsidR="008230AD">
        <w:br w:type="page"/>
      </w:r>
    </w:p>
    <w:p w:rsidR="00590738" w:rsidRDefault="00590738" w:rsidP="00590738">
      <w:pPr>
        <w:spacing w:before="240"/>
      </w:pPr>
    </w:p>
    <w:p w:rsidR="00590738" w:rsidRPr="008230AD" w:rsidRDefault="007D076E" w:rsidP="008230AD">
      <w:pPr>
        <w:pStyle w:val="Heading3"/>
      </w:pPr>
      <w:bookmarkStart w:id="39" w:name="_Large_Numbers_of"/>
      <w:bookmarkStart w:id="40" w:name="_The_Hidden_Majority:"/>
      <w:bookmarkStart w:id="41" w:name="_Toc328488673"/>
      <w:bookmarkStart w:id="42" w:name="_Toc358033205"/>
      <w:bookmarkEnd w:id="39"/>
      <w:bookmarkEnd w:id="40"/>
      <w:r w:rsidRPr="008230AD">
        <w:t xml:space="preserve">The </w:t>
      </w:r>
      <w:r w:rsidR="005229AE" w:rsidRPr="008230AD">
        <w:t xml:space="preserve">Hidden </w:t>
      </w:r>
      <w:r w:rsidRPr="008230AD">
        <w:t>M</w:t>
      </w:r>
      <w:r w:rsidR="005229AE" w:rsidRPr="008230AD">
        <w:t xml:space="preserve">ajority: </w:t>
      </w:r>
      <w:r w:rsidRPr="008230AD">
        <w:t>H</w:t>
      </w:r>
      <w:r w:rsidR="00590738" w:rsidRPr="008230AD">
        <w:t xml:space="preserve">idden </w:t>
      </w:r>
      <w:r w:rsidRPr="008230AD">
        <w:t>D</w:t>
      </w:r>
      <w:r w:rsidR="00590738" w:rsidRPr="008230AD">
        <w:t>isadvantaged</w:t>
      </w:r>
      <w:bookmarkEnd w:id="41"/>
      <w:r w:rsidRPr="008230AD">
        <w:t xml:space="preserve"> in Large Populations</w:t>
      </w:r>
      <w:bookmarkEnd w:id="42"/>
    </w:p>
    <w:p w:rsidR="00590738" w:rsidRPr="009A5735" w:rsidRDefault="00590738" w:rsidP="00590738">
      <w:r>
        <w:t xml:space="preserve">One of the most significant impacts of using the SEIFA IRSD index as a proxy measure for individual-level disadvantage in the ACT is </w:t>
      </w:r>
      <w:r w:rsidR="00EB7EA8">
        <w:t xml:space="preserve">the </w:t>
      </w:r>
      <w:r>
        <w:t xml:space="preserve">number of disadvantaged individuals who are masked in areas with large resident populations. While the highly populated ACT suburbs and collection districts may have small overall proportions of individuals </w:t>
      </w:r>
      <w:r w:rsidR="00EB7EA8">
        <w:t>i</w:t>
      </w:r>
      <w:r>
        <w:t xml:space="preserve">n SEIFI </w:t>
      </w:r>
      <w:r w:rsidR="00EB7EA8">
        <w:t xml:space="preserve">IRSD </w:t>
      </w:r>
      <w:r>
        <w:t xml:space="preserve">Groups 1 or 2, these individuals make up the majority of the </w:t>
      </w:r>
      <w:r w:rsidR="00E179E1">
        <w:t xml:space="preserve">hidden </w:t>
      </w:r>
      <w:r>
        <w:t xml:space="preserve">disadvantaged across the region. </w:t>
      </w:r>
    </w:p>
    <w:p w:rsidR="00590738" w:rsidRPr="008230AD" w:rsidRDefault="00590738" w:rsidP="008230AD">
      <w:pPr>
        <w:pStyle w:val="Heading4"/>
      </w:pPr>
      <w:bookmarkStart w:id="43" w:name="_Toc358033206"/>
      <w:r w:rsidRPr="008230AD">
        <w:t>Kaleen</w:t>
      </w:r>
      <w:bookmarkEnd w:id="43"/>
    </w:p>
    <w:p w:rsidR="00590738" w:rsidRPr="007113B5"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 xml:space="preserve">SEIFA </w:t>
      </w:r>
      <w:r w:rsidR="005D1D0B">
        <w:rPr>
          <w:b/>
          <w:color w:val="244061" w:themeColor="accent1" w:themeShade="80"/>
        </w:rPr>
        <w:t xml:space="preserve">IRSD </w:t>
      </w:r>
      <w:r w:rsidRPr="007113B5">
        <w:rPr>
          <w:b/>
          <w:color w:val="244061" w:themeColor="accent1" w:themeShade="80"/>
        </w:rPr>
        <w:t xml:space="preserve">and SEIFI </w:t>
      </w:r>
      <w:r w:rsidR="005D1D0B">
        <w:rPr>
          <w:b/>
          <w:color w:val="244061" w:themeColor="accent1" w:themeShade="80"/>
        </w:rPr>
        <w:t xml:space="preserve">IRSD </w:t>
      </w:r>
      <w:r w:rsidRPr="007113B5">
        <w:rPr>
          <w:b/>
          <w:color w:val="244061" w:themeColor="accent1" w:themeShade="80"/>
        </w:rPr>
        <w:t xml:space="preserve">data, Suburb of </w:t>
      </w:r>
      <w:r>
        <w:rPr>
          <w:b/>
          <w:color w:val="244061" w:themeColor="accent1" w:themeShade="80"/>
        </w:rPr>
        <w:t>Kaleen</w:t>
      </w:r>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9</w:t>
            </w:r>
          </w:p>
        </w:tc>
        <w:tc>
          <w:tcPr>
            <w:tcW w:w="1237" w:type="dxa"/>
            <w:tcBorders>
              <w:left w:val="none" w:sz="0" w:space="0" w:color="auto"/>
              <w:right w:val="none" w:sz="0" w:space="0" w:color="auto"/>
            </w:tcBorders>
          </w:tcPr>
          <w:p w:rsidR="00590738" w:rsidRDefault="00590738" w:rsidP="00AA1B9F">
            <w:pPr>
              <w:jc w:val="center"/>
            </w:pPr>
            <w:r>
              <w:t>7586</w:t>
            </w:r>
          </w:p>
        </w:tc>
        <w:tc>
          <w:tcPr>
            <w:tcW w:w="1236" w:type="dxa"/>
            <w:tcBorders>
              <w:left w:val="none" w:sz="0" w:space="0" w:color="auto"/>
              <w:right w:val="none" w:sz="0" w:space="0" w:color="auto"/>
            </w:tcBorders>
          </w:tcPr>
          <w:p w:rsidR="00590738" w:rsidRDefault="00590738" w:rsidP="00AA1B9F">
            <w:pPr>
              <w:jc w:val="center"/>
            </w:pPr>
            <w:r>
              <w:t>5581</w:t>
            </w:r>
          </w:p>
        </w:tc>
        <w:tc>
          <w:tcPr>
            <w:tcW w:w="1235" w:type="dxa"/>
            <w:tcBorders>
              <w:left w:val="none" w:sz="0" w:space="0" w:color="auto"/>
              <w:right w:val="none" w:sz="0" w:space="0" w:color="auto"/>
            </w:tcBorders>
          </w:tcPr>
          <w:p w:rsidR="00590738" w:rsidRDefault="000660C9" w:rsidP="00AA1B9F">
            <w:pPr>
              <w:jc w:val="center"/>
            </w:pPr>
            <w:r>
              <w:t>10.8</w:t>
            </w:r>
            <w:r w:rsidR="00590738">
              <w:t>%</w:t>
            </w:r>
          </w:p>
        </w:tc>
        <w:tc>
          <w:tcPr>
            <w:tcW w:w="1235" w:type="dxa"/>
            <w:tcBorders>
              <w:left w:val="none" w:sz="0" w:space="0" w:color="auto"/>
              <w:right w:val="none" w:sz="0" w:space="0" w:color="auto"/>
            </w:tcBorders>
          </w:tcPr>
          <w:p w:rsidR="00590738" w:rsidRDefault="00590738" w:rsidP="00AA1B9F">
            <w:pPr>
              <w:jc w:val="center"/>
            </w:pPr>
            <w:r>
              <w:t>13</w:t>
            </w:r>
            <w:r w:rsidR="000660C9">
              <w:t>.0</w:t>
            </w:r>
            <w:r>
              <w:t>%</w:t>
            </w:r>
          </w:p>
        </w:tc>
        <w:tc>
          <w:tcPr>
            <w:tcW w:w="1235" w:type="dxa"/>
            <w:tcBorders>
              <w:left w:val="none" w:sz="0" w:space="0" w:color="auto"/>
              <w:right w:val="none" w:sz="0" w:space="0" w:color="auto"/>
            </w:tcBorders>
          </w:tcPr>
          <w:p w:rsidR="00590738" w:rsidRDefault="00590738" w:rsidP="00AA1B9F">
            <w:pPr>
              <w:jc w:val="center"/>
            </w:pPr>
            <w:r>
              <w:t>35</w:t>
            </w:r>
            <w:r w:rsidR="000660C9">
              <w:t>.0</w:t>
            </w:r>
            <w:r>
              <w:t>%</w:t>
            </w:r>
          </w:p>
        </w:tc>
        <w:tc>
          <w:tcPr>
            <w:tcW w:w="1235" w:type="dxa"/>
            <w:tcBorders>
              <w:left w:val="none" w:sz="0" w:space="0" w:color="auto"/>
              <w:right w:val="none" w:sz="0" w:space="0" w:color="auto"/>
            </w:tcBorders>
          </w:tcPr>
          <w:p w:rsidR="00590738" w:rsidRDefault="00590738" w:rsidP="00AA1B9F">
            <w:pPr>
              <w:jc w:val="center"/>
            </w:pPr>
            <w:r>
              <w:t>41</w:t>
            </w:r>
            <w:r w:rsidR="000660C9">
              <w:t>.1</w:t>
            </w:r>
            <w:r>
              <w:t>%</w:t>
            </w:r>
          </w:p>
        </w:tc>
        <w:tc>
          <w:tcPr>
            <w:tcW w:w="1024" w:type="dxa"/>
            <w:tcBorders>
              <w:left w:val="none" w:sz="0" w:space="0" w:color="auto"/>
            </w:tcBorders>
          </w:tcPr>
          <w:p w:rsidR="00590738" w:rsidRDefault="00590738" w:rsidP="00AA1B9F">
            <w:pPr>
              <w:jc w:val="center"/>
            </w:pPr>
            <w:r>
              <w:t>10</w:t>
            </w:r>
          </w:p>
        </w:tc>
      </w:tr>
    </w:tbl>
    <w:p w:rsidR="00590738" w:rsidRPr="007113B5" w:rsidRDefault="00590738" w:rsidP="00590738">
      <w:pPr>
        <w:spacing w:after="0"/>
      </w:pPr>
    </w:p>
    <w:p w:rsidR="00590738" w:rsidRDefault="00590738" w:rsidP="00590738">
      <w:r>
        <w:t xml:space="preserve">With 7586 usual residents and 5581 residents aged 15 to </w:t>
      </w:r>
      <w:proofErr w:type="gramStart"/>
      <w:r>
        <w:t>64,</w:t>
      </w:r>
      <w:proofErr w:type="gramEnd"/>
      <w:r>
        <w:t xml:space="preserve"> the suburb of Kaleen has the largest population of all the suburbs in </w:t>
      </w:r>
      <w:proofErr w:type="spellStart"/>
      <w:r>
        <w:t>Belconnen</w:t>
      </w:r>
      <w:proofErr w:type="spellEnd"/>
      <w:r>
        <w:t xml:space="preserve"> by more than 1500 people. 69.8% of Kaleen residents aged 15 and over participate in the labour force, including 3.0% who are unemployed but seeking employment. 29.3% of Kaleen residents make $400 per week or less. Median weekly rent in Kaleen is $285, where approximately 600 are available for rent and 143 are public housing units made available by Housing and Community Services ACT</w:t>
      </w:r>
      <w:r w:rsidR="004A58FA">
        <w:rPr>
          <w:vertAlign w:val="superscript"/>
        </w:rPr>
        <w:t>17</w:t>
      </w:r>
      <w:r>
        <w:t xml:space="preserve">. </w:t>
      </w:r>
    </w:p>
    <w:p w:rsidR="00590738" w:rsidRDefault="00590738" w:rsidP="00590738">
      <w:r>
        <w:t>Kaleen has a SEIFA score of 9, which indicates that</w:t>
      </w:r>
      <w:r w:rsidR="005D1D0B">
        <w:t xml:space="preserve">, on average, </w:t>
      </w:r>
      <w:r>
        <w:t>Kaleen experience</w:t>
      </w:r>
      <w:r w:rsidR="005D1D0B">
        <w:t>s</w:t>
      </w:r>
      <w:r>
        <w:t xml:space="preserve"> very little </w:t>
      </w:r>
      <w:r w:rsidR="005D1D0B">
        <w:t>socio-economic disadvantage</w:t>
      </w:r>
      <w:r>
        <w:t>. When broken down to the individual level, however, the SEIFI</w:t>
      </w:r>
      <w:r w:rsidR="005D1D0B">
        <w:t xml:space="preserve"> IRSD</w:t>
      </w:r>
      <w:r>
        <w:t xml:space="preserve"> data tells us that 5</w:t>
      </w:r>
      <w:r w:rsidR="00F24F63">
        <w:t>8.8</w:t>
      </w:r>
      <w:r>
        <w:t xml:space="preserve">% of Kaleen’s population experiences a higher level of disadvantage than that described by the </w:t>
      </w:r>
      <w:r w:rsidR="005D1D0B">
        <w:t xml:space="preserve">suburb’s </w:t>
      </w:r>
      <w:r>
        <w:t xml:space="preserve">SEIFA </w:t>
      </w:r>
      <w:r w:rsidR="005D1D0B">
        <w:t xml:space="preserve">IRSD </w:t>
      </w:r>
      <w:r>
        <w:t>score. In a population of this size, this proportion represents a staggering 3288 individuals</w:t>
      </w:r>
      <w:r w:rsidR="00F24F63">
        <w:t xml:space="preserve"> aged 15-64</w:t>
      </w:r>
      <w:r>
        <w:t>, 604 of whom fall into the most disadvantaged quintile and 728 of whom fall into the second most disadvantaged quintile. Although the diversity of disadvantage in the</w:t>
      </w:r>
      <w:r w:rsidR="00F24F63">
        <w:t xml:space="preserve"> Kaleen</w:t>
      </w:r>
      <w:r>
        <w:t xml:space="preserve"> population is more evident in the </w:t>
      </w:r>
      <w:r w:rsidR="00F24F63">
        <w:t xml:space="preserve">CD-level </w:t>
      </w:r>
      <w:r>
        <w:t>SEIFA, which range</w:t>
      </w:r>
      <w:r w:rsidR="005D1D0B">
        <w:t>s</w:t>
      </w:r>
      <w:r>
        <w:t xml:space="preserve"> from 4 to 10, 2736 individuals are still masked at the small-area level. </w:t>
      </w:r>
    </w:p>
    <w:p w:rsidR="00590738" w:rsidRDefault="00590738" w:rsidP="00590738">
      <w:r>
        <w:t xml:space="preserve">Including Kaleen, 16 of the 24 suburbs in </w:t>
      </w:r>
      <w:proofErr w:type="spellStart"/>
      <w:r>
        <w:t>Belconnen</w:t>
      </w:r>
      <w:proofErr w:type="spellEnd"/>
      <w:r>
        <w:t xml:space="preserve"> have SEIFA scores </w:t>
      </w:r>
      <w:r w:rsidR="00857E62">
        <w:t>of 8 or higher</w:t>
      </w:r>
      <w:r>
        <w:t>, but with 26</w:t>
      </w:r>
      <w:r w:rsidR="00857E62">
        <w:t>.4</w:t>
      </w:r>
      <w:r>
        <w:t xml:space="preserve">% of the total ACT population residing in the </w:t>
      </w:r>
      <w:proofErr w:type="spellStart"/>
      <w:r>
        <w:t>Belconnen</w:t>
      </w:r>
      <w:proofErr w:type="spellEnd"/>
      <w:r>
        <w:t xml:space="preserve"> area, the number of people experiencing the highest leve</w:t>
      </w:r>
      <w:r w:rsidR="00857E62">
        <w:t xml:space="preserve">ls of disadvantage adds to 4535 </w:t>
      </w:r>
      <w:r>
        <w:t xml:space="preserve">individuals </w:t>
      </w:r>
      <w:r w:rsidR="00857E62">
        <w:t xml:space="preserve">aged 15-64 </w:t>
      </w:r>
      <w:r>
        <w:t>from these high ranking suburbs alone, according to the SEIFI</w:t>
      </w:r>
      <w:r w:rsidR="005D1D0B">
        <w:t xml:space="preserve"> IRSD</w:t>
      </w:r>
      <w:r>
        <w:t xml:space="preserve"> data. </w:t>
      </w:r>
    </w:p>
    <w:p w:rsidR="00590738" w:rsidRPr="008230AD" w:rsidRDefault="00590738" w:rsidP="008230AD">
      <w:pPr>
        <w:pStyle w:val="Heading4"/>
      </w:pPr>
      <w:bookmarkStart w:id="44" w:name="_Toc358033207"/>
      <w:proofErr w:type="spellStart"/>
      <w:r w:rsidRPr="008230AD">
        <w:t>Narrabundah</w:t>
      </w:r>
      <w:bookmarkEnd w:id="44"/>
      <w:proofErr w:type="spellEnd"/>
    </w:p>
    <w:p w:rsidR="00590738" w:rsidRPr="006F40D2"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SEIFA</w:t>
      </w:r>
      <w:r w:rsidR="004C02C8">
        <w:rPr>
          <w:b/>
          <w:color w:val="244061" w:themeColor="accent1" w:themeShade="80"/>
        </w:rPr>
        <w:t xml:space="preserve"> IRSD</w:t>
      </w:r>
      <w:r w:rsidRPr="007113B5">
        <w:rPr>
          <w:b/>
          <w:color w:val="244061" w:themeColor="accent1" w:themeShade="80"/>
        </w:rPr>
        <w:t xml:space="preserve"> and SEIFI </w:t>
      </w:r>
      <w:r w:rsidR="004C02C8">
        <w:rPr>
          <w:b/>
          <w:color w:val="244061" w:themeColor="accent1" w:themeShade="80"/>
        </w:rPr>
        <w:t xml:space="preserve">IRSD </w:t>
      </w:r>
      <w:r w:rsidRPr="007113B5">
        <w:rPr>
          <w:b/>
          <w:color w:val="244061" w:themeColor="accent1" w:themeShade="80"/>
        </w:rPr>
        <w:t xml:space="preserve">data, Suburb of </w:t>
      </w:r>
      <w:proofErr w:type="spellStart"/>
      <w:r>
        <w:rPr>
          <w:b/>
          <w:color w:val="244061" w:themeColor="accent1" w:themeShade="80"/>
        </w:rPr>
        <w:t>Narrabundah</w:t>
      </w:r>
      <w:proofErr w:type="spellEnd"/>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7</w:t>
            </w:r>
          </w:p>
        </w:tc>
        <w:tc>
          <w:tcPr>
            <w:tcW w:w="1237" w:type="dxa"/>
            <w:tcBorders>
              <w:left w:val="none" w:sz="0" w:space="0" w:color="auto"/>
              <w:right w:val="none" w:sz="0" w:space="0" w:color="auto"/>
            </w:tcBorders>
          </w:tcPr>
          <w:p w:rsidR="00590738" w:rsidRDefault="00590738" w:rsidP="00AA1B9F">
            <w:pPr>
              <w:jc w:val="center"/>
            </w:pPr>
            <w:r>
              <w:t>7586</w:t>
            </w:r>
          </w:p>
        </w:tc>
        <w:tc>
          <w:tcPr>
            <w:tcW w:w="1236" w:type="dxa"/>
            <w:tcBorders>
              <w:left w:val="none" w:sz="0" w:space="0" w:color="auto"/>
              <w:right w:val="none" w:sz="0" w:space="0" w:color="auto"/>
            </w:tcBorders>
          </w:tcPr>
          <w:p w:rsidR="00590738" w:rsidRDefault="00590738" w:rsidP="00AA1B9F">
            <w:pPr>
              <w:jc w:val="center"/>
            </w:pPr>
            <w:r>
              <w:t>5581</w:t>
            </w:r>
          </w:p>
        </w:tc>
        <w:tc>
          <w:tcPr>
            <w:tcW w:w="1235" w:type="dxa"/>
            <w:tcBorders>
              <w:left w:val="none" w:sz="0" w:space="0" w:color="auto"/>
              <w:right w:val="none" w:sz="0" w:space="0" w:color="auto"/>
            </w:tcBorders>
          </w:tcPr>
          <w:p w:rsidR="00590738" w:rsidRDefault="00590738" w:rsidP="00AA1B9F">
            <w:pPr>
              <w:jc w:val="center"/>
            </w:pPr>
            <w:r>
              <w:t>17</w:t>
            </w:r>
            <w:r w:rsidR="000660C9">
              <w:t>.2</w:t>
            </w:r>
            <w:r>
              <w:t>%</w:t>
            </w:r>
          </w:p>
        </w:tc>
        <w:tc>
          <w:tcPr>
            <w:tcW w:w="1235" w:type="dxa"/>
            <w:tcBorders>
              <w:left w:val="none" w:sz="0" w:space="0" w:color="auto"/>
              <w:right w:val="none" w:sz="0" w:space="0" w:color="auto"/>
            </w:tcBorders>
          </w:tcPr>
          <w:p w:rsidR="00590738" w:rsidRDefault="00590738" w:rsidP="00AA1B9F">
            <w:pPr>
              <w:jc w:val="center"/>
            </w:pPr>
            <w:r>
              <w:t>8</w:t>
            </w:r>
            <w:r w:rsidR="000660C9">
              <w:t>.0</w:t>
            </w:r>
            <w:r>
              <w:t>%</w:t>
            </w:r>
          </w:p>
        </w:tc>
        <w:tc>
          <w:tcPr>
            <w:tcW w:w="1235" w:type="dxa"/>
            <w:tcBorders>
              <w:left w:val="none" w:sz="0" w:space="0" w:color="auto"/>
              <w:right w:val="none" w:sz="0" w:space="0" w:color="auto"/>
            </w:tcBorders>
          </w:tcPr>
          <w:p w:rsidR="00590738" w:rsidRDefault="000660C9" w:rsidP="00AA1B9F">
            <w:pPr>
              <w:jc w:val="center"/>
            </w:pPr>
            <w:r>
              <w:t>25.8</w:t>
            </w:r>
            <w:r w:rsidR="00590738">
              <w:t>%</w:t>
            </w:r>
          </w:p>
        </w:tc>
        <w:tc>
          <w:tcPr>
            <w:tcW w:w="1235" w:type="dxa"/>
            <w:tcBorders>
              <w:left w:val="none" w:sz="0" w:space="0" w:color="auto"/>
              <w:right w:val="none" w:sz="0" w:space="0" w:color="auto"/>
            </w:tcBorders>
          </w:tcPr>
          <w:p w:rsidR="00590738" w:rsidRDefault="00590738" w:rsidP="00AA1B9F">
            <w:pPr>
              <w:jc w:val="center"/>
            </w:pPr>
            <w:r>
              <w:t>49</w:t>
            </w:r>
            <w:r w:rsidR="000660C9">
              <w:t>.0</w:t>
            </w:r>
            <w:r>
              <w:t>%</w:t>
            </w:r>
          </w:p>
        </w:tc>
        <w:tc>
          <w:tcPr>
            <w:tcW w:w="1024" w:type="dxa"/>
            <w:tcBorders>
              <w:left w:val="none" w:sz="0" w:space="0" w:color="auto"/>
            </w:tcBorders>
          </w:tcPr>
          <w:p w:rsidR="00590738" w:rsidRDefault="00590738" w:rsidP="00AA1B9F">
            <w:pPr>
              <w:jc w:val="center"/>
            </w:pPr>
            <w:r>
              <w:t>9</w:t>
            </w:r>
          </w:p>
        </w:tc>
      </w:tr>
    </w:tbl>
    <w:p w:rsidR="00590738" w:rsidRDefault="00590738" w:rsidP="00590738">
      <w:pPr>
        <w:spacing w:before="240"/>
      </w:pPr>
      <w:r>
        <w:lastRenderedPageBreak/>
        <w:t xml:space="preserve">The suburb of </w:t>
      </w:r>
      <w:proofErr w:type="spellStart"/>
      <w:r>
        <w:t>Narrabundah</w:t>
      </w:r>
      <w:proofErr w:type="spellEnd"/>
      <w:r>
        <w:t xml:space="preserve"> in South Canberra is ranked by SEIFA as falling into the 7</w:t>
      </w:r>
      <w:r w:rsidRPr="00CD6D3C">
        <w:rPr>
          <w:vertAlign w:val="superscript"/>
        </w:rPr>
        <w:t>th</w:t>
      </w:r>
      <w:r>
        <w:t xml:space="preserve"> </w:t>
      </w:r>
      <w:proofErr w:type="spellStart"/>
      <w:r>
        <w:t>decile</w:t>
      </w:r>
      <w:proofErr w:type="spellEnd"/>
      <w:r>
        <w:t xml:space="preserve">, indicating </w:t>
      </w:r>
      <w:proofErr w:type="spellStart"/>
      <w:r>
        <w:t>Narrabundah</w:t>
      </w:r>
      <w:proofErr w:type="spellEnd"/>
      <w:r>
        <w:t xml:space="preserve"> experience</w:t>
      </w:r>
      <w:r w:rsidR="004C02C8">
        <w:t>s</w:t>
      </w:r>
      <w:r>
        <w:t xml:space="preserve"> more relative disadvantage </w:t>
      </w:r>
      <w:r w:rsidR="004C02C8">
        <w:t xml:space="preserve">overall </w:t>
      </w:r>
      <w:r>
        <w:t xml:space="preserve">than Kaleen, but that, on </w:t>
      </w:r>
      <w:r w:rsidR="004C02C8">
        <w:t>balance</w:t>
      </w:r>
      <w:r>
        <w:t xml:space="preserve">, the extent of this disadvantage is moderate. 60.4% of the </w:t>
      </w:r>
      <w:proofErr w:type="spellStart"/>
      <w:r>
        <w:t>Narrabundah</w:t>
      </w:r>
      <w:proofErr w:type="spellEnd"/>
      <w:r>
        <w:t xml:space="preserve"> population aged 15 and older is active in the labour force, 3.2% are unemployed but currently seeking work, and 27.5</w:t>
      </w:r>
      <w:r w:rsidR="00BE29B6">
        <w:t>% earn</w:t>
      </w:r>
      <w:r>
        <w:t xml:space="preserve"> less than $400 in average weekly income. </w:t>
      </w:r>
      <w:r w:rsidR="00175A4C">
        <w:t>Median weekly rent in the area is $</w:t>
      </w:r>
      <w:proofErr w:type="gramStart"/>
      <w:r w:rsidR="00175A4C">
        <w:t>255,</w:t>
      </w:r>
      <w:proofErr w:type="gramEnd"/>
      <w:r w:rsidR="00175A4C">
        <w:t xml:space="preserve"> there are 923 rental properties, and 349 </w:t>
      </w:r>
      <w:r w:rsidR="004A58FA">
        <w:t>public housing units</w:t>
      </w:r>
      <w:r w:rsidR="004A58FA">
        <w:rPr>
          <w:vertAlign w:val="superscript"/>
        </w:rPr>
        <w:t>18</w:t>
      </w:r>
      <w:r w:rsidR="004A58FA">
        <w:t xml:space="preserve">. </w:t>
      </w:r>
    </w:p>
    <w:p w:rsidR="00590738" w:rsidRDefault="00590738" w:rsidP="00590738">
      <w:pPr>
        <w:spacing w:before="240"/>
      </w:pPr>
      <w:r>
        <w:t>Yet while 49</w:t>
      </w:r>
      <w:r w:rsidR="003D4421">
        <w:t>.0</w:t>
      </w:r>
      <w:r>
        <w:t xml:space="preserve">% of </w:t>
      </w:r>
      <w:proofErr w:type="spellStart"/>
      <w:r>
        <w:t>Narrabundah</w:t>
      </w:r>
      <w:proofErr w:type="spellEnd"/>
      <w:r>
        <w:t xml:space="preserve"> residents fall into Group 4, 25</w:t>
      </w:r>
      <w:r w:rsidR="003D4421">
        <w:t>.2</w:t>
      </w:r>
      <w:r>
        <w:t xml:space="preserve">% of the suburb’s residents </w:t>
      </w:r>
      <w:r w:rsidR="003D4421">
        <w:t>aged 15-64</w:t>
      </w:r>
      <w:r w:rsidR="004A58FA">
        <w:t xml:space="preserve"> </w:t>
      </w:r>
      <w:r>
        <w:t>fall into the most disadvantaged 40% of Australia</w:t>
      </w:r>
      <w:r w:rsidR="003D4421">
        <w:t>ns in the same age group</w:t>
      </w:r>
      <w:r>
        <w:t>. With a 15-64 year old population of 3785 people, this proportion translates to 303 Group 2 and 651 Group 1 individuals</w:t>
      </w:r>
      <w:r w:rsidR="003D4421">
        <w:t xml:space="preserve"> aged 15-64</w:t>
      </w:r>
      <w:r>
        <w:t xml:space="preserve">, all of whom fail to be represented </w:t>
      </w:r>
      <w:r w:rsidR="003D4421">
        <w:t xml:space="preserve">when applying the SEIFA </w:t>
      </w:r>
      <w:proofErr w:type="spellStart"/>
      <w:r w:rsidR="003D4421">
        <w:t>decile</w:t>
      </w:r>
      <w:proofErr w:type="spellEnd"/>
      <w:r w:rsidR="003D4421">
        <w:t xml:space="preserve"> score </w:t>
      </w:r>
      <w:r>
        <w:t xml:space="preserve">for the suburb. </w:t>
      </w:r>
    </w:p>
    <w:p w:rsidR="00590738" w:rsidRPr="008230AD" w:rsidRDefault="00590738" w:rsidP="008230AD">
      <w:pPr>
        <w:pStyle w:val="Heading4"/>
      </w:pPr>
      <w:bookmarkStart w:id="45" w:name="_Toc358033208"/>
      <w:proofErr w:type="spellStart"/>
      <w:r w:rsidRPr="008230AD">
        <w:t>Ngunnawal</w:t>
      </w:r>
      <w:bookmarkEnd w:id="45"/>
      <w:proofErr w:type="spellEnd"/>
    </w:p>
    <w:p w:rsidR="00590738" w:rsidRPr="007113B5"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SEIFA</w:t>
      </w:r>
      <w:r w:rsidR="004A58FA">
        <w:rPr>
          <w:b/>
          <w:color w:val="244061" w:themeColor="accent1" w:themeShade="80"/>
        </w:rPr>
        <w:t xml:space="preserve"> IRSD</w:t>
      </w:r>
      <w:r w:rsidRPr="007113B5">
        <w:rPr>
          <w:b/>
          <w:color w:val="244061" w:themeColor="accent1" w:themeShade="80"/>
        </w:rPr>
        <w:t xml:space="preserve"> and SEIFI</w:t>
      </w:r>
      <w:r w:rsidR="004A58FA">
        <w:rPr>
          <w:b/>
          <w:color w:val="244061" w:themeColor="accent1" w:themeShade="80"/>
        </w:rPr>
        <w:t xml:space="preserve"> IRSD</w:t>
      </w:r>
      <w:r w:rsidRPr="007113B5">
        <w:rPr>
          <w:b/>
          <w:color w:val="244061" w:themeColor="accent1" w:themeShade="80"/>
        </w:rPr>
        <w:t xml:space="preserve"> data, Suburb of </w:t>
      </w:r>
      <w:proofErr w:type="spellStart"/>
      <w:r w:rsidRPr="007113B5">
        <w:rPr>
          <w:b/>
          <w:color w:val="244061" w:themeColor="accent1" w:themeShade="80"/>
        </w:rPr>
        <w:t>Ngunnawal</w:t>
      </w:r>
      <w:proofErr w:type="spellEnd"/>
      <w:r w:rsidRPr="007113B5">
        <w:rPr>
          <w:b/>
          <w:color w:val="244061" w:themeColor="accent1" w:themeShade="80"/>
        </w:rPr>
        <w:t xml:space="preserve"> </w:t>
      </w:r>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9</w:t>
            </w:r>
          </w:p>
        </w:tc>
        <w:tc>
          <w:tcPr>
            <w:tcW w:w="1237" w:type="dxa"/>
            <w:tcBorders>
              <w:left w:val="none" w:sz="0" w:space="0" w:color="auto"/>
              <w:right w:val="none" w:sz="0" w:space="0" w:color="auto"/>
            </w:tcBorders>
          </w:tcPr>
          <w:p w:rsidR="00590738" w:rsidRDefault="00590738" w:rsidP="00AA1B9F">
            <w:pPr>
              <w:jc w:val="center"/>
            </w:pPr>
            <w:r>
              <w:t>8938</w:t>
            </w:r>
          </w:p>
        </w:tc>
        <w:tc>
          <w:tcPr>
            <w:tcW w:w="1236" w:type="dxa"/>
            <w:tcBorders>
              <w:left w:val="none" w:sz="0" w:space="0" w:color="auto"/>
              <w:right w:val="none" w:sz="0" w:space="0" w:color="auto"/>
            </w:tcBorders>
          </w:tcPr>
          <w:p w:rsidR="00590738" w:rsidRDefault="00590738" w:rsidP="00AA1B9F">
            <w:pPr>
              <w:jc w:val="center"/>
            </w:pPr>
            <w:r>
              <w:t>6243</w:t>
            </w:r>
          </w:p>
        </w:tc>
        <w:tc>
          <w:tcPr>
            <w:tcW w:w="1235" w:type="dxa"/>
            <w:tcBorders>
              <w:left w:val="none" w:sz="0" w:space="0" w:color="auto"/>
              <w:right w:val="none" w:sz="0" w:space="0" w:color="auto"/>
            </w:tcBorders>
          </w:tcPr>
          <w:p w:rsidR="00590738" w:rsidRDefault="00590738" w:rsidP="00AA1B9F">
            <w:pPr>
              <w:jc w:val="center"/>
            </w:pPr>
            <w:r>
              <w:t>13</w:t>
            </w:r>
            <w:r w:rsidR="000660C9">
              <w:t>.2</w:t>
            </w:r>
            <w:r>
              <w:t>%</w:t>
            </w:r>
          </w:p>
        </w:tc>
        <w:tc>
          <w:tcPr>
            <w:tcW w:w="1235" w:type="dxa"/>
            <w:tcBorders>
              <w:left w:val="none" w:sz="0" w:space="0" w:color="auto"/>
              <w:right w:val="none" w:sz="0" w:space="0" w:color="auto"/>
            </w:tcBorders>
          </w:tcPr>
          <w:p w:rsidR="00590738" w:rsidRDefault="00590738" w:rsidP="00AA1B9F">
            <w:pPr>
              <w:jc w:val="center"/>
            </w:pPr>
            <w:r>
              <w:t>13</w:t>
            </w:r>
            <w:r w:rsidR="000660C9">
              <w:t>.1</w:t>
            </w:r>
            <w:r>
              <w:t>%</w:t>
            </w:r>
          </w:p>
        </w:tc>
        <w:tc>
          <w:tcPr>
            <w:tcW w:w="1235" w:type="dxa"/>
            <w:tcBorders>
              <w:left w:val="none" w:sz="0" w:space="0" w:color="auto"/>
              <w:right w:val="none" w:sz="0" w:space="0" w:color="auto"/>
            </w:tcBorders>
          </w:tcPr>
          <w:p w:rsidR="00590738" w:rsidRDefault="00590738" w:rsidP="00AA1B9F">
            <w:pPr>
              <w:jc w:val="center"/>
            </w:pPr>
            <w:r>
              <w:t>31</w:t>
            </w:r>
            <w:r w:rsidR="000660C9">
              <w:t>.4</w:t>
            </w:r>
            <w:r>
              <w:t>%</w:t>
            </w:r>
          </w:p>
        </w:tc>
        <w:tc>
          <w:tcPr>
            <w:tcW w:w="1235" w:type="dxa"/>
            <w:tcBorders>
              <w:left w:val="none" w:sz="0" w:space="0" w:color="auto"/>
              <w:right w:val="none" w:sz="0" w:space="0" w:color="auto"/>
            </w:tcBorders>
          </w:tcPr>
          <w:p w:rsidR="00590738" w:rsidRDefault="00590738" w:rsidP="00AA1B9F">
            <w:pPr>
              <w:jc w:val="center"/>
            </w:pPr>
            <w:r>
              <w:t>42</w:t>
            </w:r>
            <w:r w:rsidR="000660C9">
              <w:t>.3</w:t>
            </w:r>
            <w:r>
              <w:t>%</w:t>
            </w:r>
          </w:p>
        </w:tc>
        <w:tc>
          <w:tcPr>
            <w:tcW w:w="1024" w:type="dxa"/>
            <w:tcBorders>
              <w:left w:val="none" w:sz="0" w:space="0" w:color="auto"/>
            </w:tcBorders>
          </w:tcPr>
          <w:p w:rsidR="00590738" w:rsidRDefault="00590738" w:rsidP="00AA1B9F">
            <w:pPr>
              <w:jc w:val="center"/>
            </w:pPr>
            <w:r>
              <w:t>12</w:t>
            </w:r>
          </w:p>
        </w:tc>
      </w:tr>
    </w:tbl>
    <w:p w:rsidR="00590738" w:rsidRDefault="00590738" w:rsidP="00590738">
      <w:pPr>
        <w:spacing w:before="240"/>
      </w:pPr>
      <w:r>
        <w:t xml:space="preserve">By population, </w:t>
      </w:r>
      <w:proofErr w:type="spellStart"/>
      <w:r>
        <w:t>Ngunnawal</w:t>
      </w:r>
      <w:proofErr w:type="spellEnd"/>
      <w:r>
        <w:t xml:space="preserve"> is the second largest suburb in the ACT</w:t>
      </w:r>
      <w:r w:rsidR="00B43210">
        <w:t>,</w:t>
      </w:r>
      <w:r>
        <w:t xml:space="preserve"> with well over 4000 more residents than the average suburb population size of 3377.  According to the 2006 Census, 72.7% of the population aged 15 years and older participates in the labour force, 3.0% are </w:t>
      </w:r>
      <w:r w:rsidR="004A58FA">
        <w:t>un</w:t>
      </w:r>
      <w:r>
        <w:t>employed</w:t>
      </w:r>
      <w:r w:rsidR="004A58FA">
        <w:t xml:space="preserve"> or looking for </w:t>
      </w:r>
      <w:proofErr w:type="gramStart"/>
      <w:r w:rsidR="004A58FA">
        <w:t>work</w:t>
      </w:r>
      <w:r>
        <w:t>,</w:t>
      </w:r>
      <w:proofErr w:type="gramEnd"/>
      <w:r>
        <w:t xml:space="preserve"> and 24.2% earn less than $400 per week. With a total number of 922 dwellings being rented, median weekly rent in </w:t>
      </w:r>
      <w:proofErr w:type="spellStart"/>
      <w:r>
        <w:t>Ngunnawal</w:t>
      </w:r>
      <w:proofErr w:type="spellEnd"/>
      <w:r>
        <w:t xml:space="preserve"> is $270. 156 of these rental properties are </w:t>
      </w:r>
      <w:r w:rsidR="004A58FA">
        <w:t>provided</w:t>
      </w:r>
      <w:r>
        <w:t xml:space="preserve"> as public housing from Housing and Community Service ACT</w:t>
      </w:r>
      <w:r w:rsidR="004A58FA">
        <w:rPr>
          <w:vertAlign w:val="superscript"/>
        </w:rPr>
        <w:t>19</w:t>
      </w:r>
      <w:r>
        <w:t xml:space="preserve">. </w:t>
      </w:r>
    </w:p>
    <w:p w:rsidR="00590738" w:rsidRPr="00AA7892" w:rsidRDefault="00590738" w:rsidP="00590738">
      <w:pPr>
        <w:spacing w:before="240"/>
      </w:pPr>
      <w:r>
        <w:t xml:space="preserve">While all of the collection districts in </w:t>
      </w:r>
      <w:proofErr w:type="spellStart"/>
      <w:r>
        <w:t>Ngunnawal</w:t>
      </w:r>
      <w:proofErr w:type="spellEnd"/>
      <w:r>
        <w:t xml:space="preserve"> have above average proportions of Group 4 individuals, several CDs have Group 2 proportions that are significantly higher than the ACT average. All together, 2917 </w:t>
      </w:r>
      <w:proofErr w:type="spellStart"/>
      <w:r>
        <w:t>Ngunnawal</w:t>
      </w:r>
      <w:proofErr w:type="spellEnd"/>
      <w:r>
        <w:t xml:space="preserve"> residents </w:t>
      </w:r>
      <w:r w:rsidR="00B43210">
        <w:t xml:space="preserve">aged 15-64 </w:t>
      </w:r>
      <w:r>
        <w:t xml:space="preserve">experience a level </w:t>
      </w:r>
      <w:r w:rsidR="006F074A">
        <w:t xml:space="preserve">of </w:t>
      </w:r>
      <w:r>
        <w:t>relative socio-economic disadvantage that is greater than that describe</w:t>
      </w:r>
      <w:r w:rsidR="00B43210">
        <w:t>d</w:t>
      </w:r>
      <w:r>
        <w:t xml:space="preserve"> by the SEIFA score at the CD level, including 825 Group 1 and 819 Group 2 individuals. At the suburb level, this total becomes 3602 hidden disadvantage</w:t>
      </w:r>
      <w:r w:rsidR="00B43210">
        <w:t>d</w:t>
      </w:r>
      <w:r>
        <w:t>, including an additional 685</w:t>
      </w:r>
      <w:r w:rsidR="00B43210">
        <w:t xml:space="preserve"> </w:t>
      </w:r>
      <w:r>
        <w:t>individuals</w:t>
      </w:r>
      <w:r w:rsidR="00B43210">
        <w:t xml:space="preserve"> aged 15-64</w:t>
      </w:r>
      <w:r>
        <w:t xml:space="preserve"> in Group 3. </w:t>
      </w:r>
    </w:p>
    <w:p w:rsidR="004A58FA" w:rsidRDefault="004A58FA" w:rsidP="008230AD">
      <w:pPr>
        <w:pStyle w:val="Heading3"/>
        <w:rPr>
          <w:rStyle w:val="Strong"/>
          <w:i w:val="0"/>
        </w:rPr>
      </w:pPr>
      <w:bookmarkStart w:id="46" w:name="_Low-visibility,_high-risk:_Small"/>
      <w:bookmarkStart w:id="47" w:name="_Low_Visibility,_High"/>
      <w:bookmarkStart w:id="48" w:name="_Toc328488674"/>
      <w:bookmarkEnd w:id="46"/>
      <w:bookmarkEnd w:id="47"/>
      <w:r>
        <w:rPr>
          <w:rStyle w:val="Strong"/>
        </w:rPr>
        <w:br w:type="page"/>
      </w:r>
    </w:p>
    <w:p w:rsidR="00590738" w:rsidRPr="008230AD" w:rsidRDefault="00B90E9E" w:rsidP="008230AD">
      <w:pPr>
        <w:pStyle w:val="Heading3"/>
      </w:pPr>
      <w:bookmarkStart w:id="49" w:name="_Toc358033209"/>
      <w:r w:rsidRPr="008230AD">
        <w:lastRenderedPageBreak/>
        <w:t>Low Visibility, High R</w:t>
      </w:r>
      <w:r w:rsidR="003F24EA" w:rsidRPr="008230AD">
        <w:t xml:space="preserve">isk: </w:t>
      </w:r>
      <w:r w:rsidRPr="008230AD">
        <w:t>S</w:t>
      </w:r>
      <w:r w:rsidR="00590738" w:rsidRPr="008230AD">
        <w:t xml:space="preserve">mall </w:t>
      </w:r>
      <w:r w:rsidRPr="008230AD">
        <w:t>N</w:t>
      </w:r>
      <w:r w:rsidR="00590738" w:rsidRPr="008230AD">
        <w:t xml:space="preserve">umbers of </w:t>
      </w:r>
      <w:r w:rsidRPr="008230AD">
        <w:t>H</w:t>
      </w:r>
      <w:r w:rsidR="00590738" w:rsidRPr="008230AD">
        <w:t xml:space="preserve">idden </w:t>
      </w:r>
      <w:r w:rsidRPr="008230AD">
        <w:t>D</w:t>
      </w:r>
      <w:r w:rsidR="00590738" w:rsidRPr="008230AD">
        <w:t>isadvantaged</w:t>
      </w:r>
      <w:bookmarkEnd w:id="48"/>
      <w:bookmarkEnd w:id="49"/>
    </w:p>
    <w:p w:rsidR="00590738" w:rsidRPr="00333F9A" w:rsidRDefault="00590738" w:rsidP="00590738">
      <w:r>
        <w:t xml:space="preserve">A total of 13 suburbs have populations with fewer than 1000 usual residents between the ages of 15 and 64. While </w:t>
      </w:r>
      <w:r w:rsidR="004F1245">
        <w:t xml:space="preserve">areas with </w:t>
      </w:r>
      <w:r>
        <w:t xml:space="preserve">large numbers of hidden disadvantaged </w:t>
      </w:r>
      <w:r w:rsidR="004F1245">
        <w:t>are</w:t>
      </w:r>
      <w:r>
        <w:t xml:space="preserve"> confronting, disadvantaged individuals who reside in areas with smaller populations and only a small number of Group 1 or Group 2 </w:t>
      </w:r>
      <w:r w:rsidR="004F1245">
        <w:t xml:space="preserve">individuals </w:t>
      </w:r>
      <w:r>
        <w:t xml:space="preserve">are much less visible and </w:t>
      </w:r>
      <w:r w:rsidR="004F1245">
        <w:t xml:space="preserve">more </w:t>
      </w:r>
      <w:r>
        <w:t xml:space="preserve">difficult to identify. This is especially the case in suburbs with small populations but high SEIFA scores; in these contexts, the SEIFI index is a more reliable tool for ensuring that individuals in need are identified and provided with adequate support. </w:t>
      </w:r>
    </w:p>
    <w:p w:rsidR="00590738" w:rsidRPr="008230AD" w:rsidRDefault="00590738" w:rsidP="008230AD">
      <w:pPr>
        <w:pStyle w:val="Heading4"/>
      </w:pPr>
      <w:bookmarkStart w:id="50" w:name="_Toc358033210"/>
      <w:r w:rsidRPr="008230AD">
        <w:t>City</w:t>
      </w:r>
      <w:bookmarkEnd w:id="50"/>
    </w:p>
    <w:p w:rsidR="00590738"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 xml:space="preserve">SEIFA </w:t>
      </w:r>
      <w:r w:rsidR="00722146">
        <w:rPr>
          <w:b/>
          <w:color w:val="244061" w:themeColor="accent1" w:themeShade="80"/>
        </w:rPr>
        <w:t xml:space="preserve">IRSD </w:t>
      </w:r>
      <w:r w:rsidRPr="007113B5">
        <w:rPr>
          <w:b/>
          <w:color w:val="244061" w:themeColor="accent1" w:themeShade="80"/>
        </w:rPr>
        <w:t xml:space="preserve">and SEIFI </w:t>
      </w:r>
      <w:r w:rsidR="00722146">
        <w:rPr>
          <w:b/>
          <w:color w:val="244061" w:themeColor="accent1" w:themeShade="80"/>
        </w:rPr>
        <w:t xml:space="preserve">IRSD </w:t>
      </w:r>
      <w:r w:rsidRPr="007113B5">
        <w:rPr>
          <w:b/>
          <w:color w:val="244061" w:themeColor="accent1" w:themeShade="80"/>
        </w:rPr>
        <w:t xml:space="preserve">data, Suburb of </w:t>
      </w:r>
      <w:r>
        <w:rPr>
          <w:b/>
          <w:color w:val="244061" w:themeColor="accent1" w:themeShade="80"/>
        </w:rPr>
        <w:t>City</w:t>
      </w:r>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10</w:t>
            </w:r>
          </w:p>
        </w:tc>
        <w:tc>
          <w:tcPr>
            <w:tcW w:w="1237" w:type="dxa"/>
            <w:tcBorders>
              <w:left w:val="none" w:sz="0" w:space="0" w:color="auto"/>
              <w:right w:val="none" w:sz="0" w:space="0" w:color="auto"/>
            </w:tcBorders>
          </w:tcPr>
          <w:p w:rsidR="00590738" w:rsidRDefault="00590738" w:rsidP="00AA1B9F">
            <w:pPr>
              <w:jc w:val="center"/>
            </w:pPr>
            <w:r>
              <w:t>722</w:t>
            </w:r>
          </w:p>
        </w:tc>
        <w:tc>
          <w:tcPr>
            <w:tcW w:w="1236" w:type="dxa"/>
            <w:tcBorders>
              <w:left w:val="none" w:sz="0" w:space="0" w:color="auto"/>
              <w:right w:val="none" w:sz="0" w:space="0" w:color="auto"/>
            </w:tcBorders>
          </w:tcPr>
          <w:p w:rsidR="00590738" w:rsidRDefault="00590738" w:rsidP="00AA1B9F">
            <w:pPr>
              <w:jc w:val="center"/>
            </w:pPr>
            <w:r>
              <w:t>656</w:t>
            </w:r>
          </w:p>
        </w:tc>
        <w:tc>
          <w:tcPr>
            <w:tcW w:w="1235" w:type="dxa"/>
            <w:tcBorders>
              <w:left w:val="none" w:sz="0" w:space="0" w:color="auto"/>
              <w:right w:val="none" w:sz="0" w:space="0" w:color="auto"/>
            </w:tcBorders>
          </w:tcPr>
          <w:p w:rsidR="00590738" w:rsidRDefault="00590738" w:rsidP="00AA1B9F">
            <w:pPr>
              <w:jc w:val="center"/>
            </w:pPr>
            <w:r>
              <w:t>11</w:t>
            </w:r>
            <w:r w:rsidR="00384BAD">
              <w:t>.5</w:t>
            </w:r>
            <w:r>
              <w:t>%</w:t>
            </w:r>
          </w:p>
        </w:tc>
        <w:tc>
          <w:tcPr>
            <w:tcW w:w="1235" w:type="dxa"/>
            <w:tcBorders>
              <w:left w:val="none" w:sz="0" w:space="0" w:color="auto"/>
              <w:right w:val="none" w:sz="0" w:space="0" w:color="auto"/>
            </w:tcBorders>
          </w:tcPr>
          <w:p w:rsidR="00590738" w:rsidRDefault="00590738" w:rsidP="00AA1B9F">
            <w:pPr>
              <w:jc w:val="center"/>
            </w:pPr>
            <w:r>
              <w:t>5</w:t>
            </w:r>
            <w:r w:rsidR="00384BAD">
              <w:t>.4</w:t>
            </w:r>
            <w:r>
              <w:t>%</w:t>
            </w:r>
          </w:p>
        </w:tc>
        <w:tc>
          <w:tcPr>
            <w:tcW w:w="1235" w:type="dxa"/>
            <w:tcBorders>
              <w:left w:val="none" w:sz="0" w:space="0" w:color="auto"/>
              <w:right w:val="none" w:sz="0" w:space="0" w:color="auto"/>
            </w:tcBorders>
          </w:tcPr>
          <w:p w:rsidR="00590738" w:rsidRDefault="00590738" w:rsidP="00AA1B9F">
            <w:pPr>
              <w:jc w:val="center"/>
            </w:pPr>
            <w:r>
              <w:t>23</w:t>
            </w:r>
            <w:r w:rsidR="00384BAD">
              <w:t>.4</w:t>
            </w:r>
            <w:r>
              <w:t>%</w:t>
            </w:r>
          </w:p>
        </w:tc>
        <w:tc>
          <w:tcPr>
            <w:tcW w:w="1235" w:type="dxa"/>
            <w:tcBorders>
              <w:left w:val="none" w:sz="0" w:space="0" w:color="auto"/>
              <w:right w:val="none" w:sz="0" w:space="0" w:color="auto"/>
            </w:tcBorders>
          </w:tcPr>
          <w:p w:rsidR="00590738" w:rsidRDefault="00384BAD" w:rsidP="00AA1B9F">
            <w:pPr>
              <w:jc w:val="center"/>
            </w:pPr>
            <w:r>
              <w:t>59.7</w:t>
            </w:r>
            <w:r w:rsidR="00590738">
              <w:t>%</w:t>
            </w:r>
          </w:p>
        </w:tc>
        <w:tc>
          <w:tcPr>
            <w:tcW w:w="1024" w:type="dxa"/>
            <w:tcBorders>
              <w:left w:val="none" w:sz="0" w:space="0" w:color="auto"/>
            </w:tcBorders>
          </w:tcPr>
          <w:p w:rsidR="00590738" w:rsidRDefault="00590738" w:rsidP="00AA1B9F">
            <w:pPr>
              <w:jc w:val="center"/>
            </w:pPr>
            <w:r>
              <w:t>1</w:t>
            </w:r>
          </w:p>
        </w:tc>
      </w:tr>
    </w:tbl>
    <w:p w:rsidR="00590738" w:rsidRDefault="00590738" w:rsidP="00590738">
      <w:pPr>
        <w:spacing w:before="240"/>
      </w:pPr>
      <w:r>
        <w:t xml:space="preserve">With 656 usual residents, City or Civic, the suburb which encompasses Canberra’s central business district, has a total of 219 rented dwellings, though only three are public housing units. Median weekly rent in City is one of the highest in the ACT at $341, though 21.7% of City residents earn less </w:t>
      </w:r>
      <w:r w:rsidR="00BE29B6">
        <w:t>than</w:t>
      </w:r>
      <w:r>
        <w:t xml:space="preserve"> $400 in weekly income. 53.1% of the population participates in the labour force but 5.6% are unemployed and currently looking for employment</w:t>
      </w:r>
      <w:r w:rsidR="00496D89">
        <w:rPr>
          <w:vertAlign w:val="superscript"/>
        </w:rPr>
        <w:t>20</w:t>
      </w:r>
      <w:r>
        <w:t xml:space="preserve">. The City also supports many of the individuals in Canberra who experience homelessness, though data on the homeless population is difficult to capture. </w:t>
      </w:r>
    </w:p>
    <w:p w:rsidR="00590738" w:rsidRDefault="00590738" w:rsidP="00590738">
      <w:pPr>
        <w:spacing w:before="240"/>
      </w:pPr>
      <w:r>
        <w:t xml:space="preserve">City has been given a suburb-level SEIFA score of 10, which is reflected in the SEIFI </w:t>
      </w:r>
      <w:r w:rsidR="00496D89">
        <w:t xml:space="preserve">IRSD </w:t>
      </w:r>
      <w:r>
        <w:t>data by the significant proportion (</w:t>
      </w:r>
      <w:r w:rsidR="00257CD1">
        <w:t>59.7</w:t>
      </w:r>
      <w:r>
        <w:t xml:space="preserve">%) of City residents </w:t>
      </w:r>
      <w:r w:rsidR="00257CD1">
        <w:t xml:space="preserve">aged 15-64 </w:t>
      </w:r>
      <w:r>
        <w:t xml:space="preserve">who fall into Group 4. This leaves 265 people </w:t>
      </w:r>
      <w:r w:rsidR="00257CD1">
        <w:t xml:space="preserve">aged 15-64 </w:t>
      </w:r>
      <w:r>
        <w:t>whose</w:t>
      </w:r>
      <w:r w:rsidR="00496D89">
        <w:t xml:space="preserve"> experience of</w:t>
      </w:r>
      <w:r>
        <w:t xml:space="preserve"> relative socio-economic disadvantage is not accurately represented by SEIFA</w:t>
      </w:r>
      <w:r w:rsidR="00496D89">
        <w:t xml:space="preserve"> IRSD</w:t>
      </w:r>
      <w:r>
        <w:t xml:space="preserve">, including 111 people who fall into the most disadvantaged 40% of Australian </w:t>
      </w:r>
      <w:r w:rsidR="00257CD1">
        <w:t>15 to 64 year olds</w:t>
      </w:r>
      <w:r>
        <w:t xml:space="preserve">.  </w:t>
      </w:r>
    </w:p>
    <w:p w:rsidR="00590738" w:rsidRPr="008230AD" w:rsidRDefault="00B90E9E" w:rsidP="008230AD">
      <w:pPr>
        <w:pStyle w:val="Heading3"/>
      </w:pPr>
      <w:bookmarkStart w:id="51" w:name="_The_Group_2"/>
      <w:bookmarkStart w:id="52" w:name="_Toc328488675"/>
      <w:bookmarkStart w:id="53" w:name="_Toc358033211"/>
      <w:bookmarkEnd w:id="51"/>
      <w:r w:rsidRPr="008230AD">
        <w:t xml:space="preserve">The </w:t>
      </w:r>
      <w:r w:rsidR="00590738" w:rsidRPr="008230AD">
        <w:t>Group 2 Phenomenon: Tuggeranong</w:t>
      </w:r>
      <w:bookmarkEnd w:id="52"/>
      <w:bookmarkEnd w:id="53"/>
    </w:p>
    <w:p w:rsidR="00573450" w:rsidRDefault="00573450" w:rsidP="00573450">
      <w:r>
        <w:t xml:space="preserve">The final </w:t>
      </w:r>
      <w:r w:rsidR="0003608E">
        <w:t>community profiles in this section</w:t>
      </w:r>
      <w:r>
        <w:t xml:space="preserve"> will focus on the Group 2 population in the ACT</w:t>
      </w:r>
      <w:r w:rsidR="0039749D">
        <w:t>,</w:t>
      </w:r>
      <w:r w:rsidR="0039749D" w:rsidRPr="0039749D">
        <w:t xml:space="preserve"> </w:t>
      </w:r>
      <w:r w:rsidR="0039749D">
        <w:t>the second most socio-economically disadvantaged cohort of Australians</w:t>
      </w:r>
      <w:r>
        <w:t xml:space="preserve">. </w:t>
      </w:r>
      <w:r w:rsidR="0039749D">
        <w:t>Individuals who fall into this G</w:t>
      </w:r>
      <w:r>
        <w:t xml:space="preserve">roup may </w:t>
      </w:r>
      <w:r w:rsidR="00496D89">
        <w:t>have</w:t>
      </w:r>
      <w:r>
        <w:t xml:space="preserve"> higher rates of employment but still experience high levels of socio-economic disadvantage. While the proportion of Group 2 res</w:t>
      </w:r>
      <w:r w:rsidR="0039749D">
        <w:t xml:space="preserve">idents </w:t>
      </w:r>
      <w:r w:rsidR="00B20548">
        <w:t xml:space="preserve">aged 15-64 </w:t>
      </w:r>
      <w:r w:rsidR="0039749D">
        <w:t xml:space="preserve">in the ACT is well below </w:t>
      </w:r>
      <w:r>
        <w:t>average, the SEIFI</w:t>
      </w:r>
      <w:r w:rsidR="00496D89" w:rsidRPr="00496D89">
        <w:t xml:space="preserve"> </w:t>
      </w:r>
      <w:r w:rsidR="00496D89">
        <w:t>IRSD</w:t>
      </w:r>
      <w:r>
        <w:t xml:space="preserve"> data has indicated that </w:t>
      </w:r>
      <w:r w:rsidR="00B20548">
        <w:t>th</w:t>
      </w:r>
      <w:r w:rsidR="00496D89">
        <w:t>ese</w:t>
      </w:r>
      <w:r w:rsidR="00B20548">
        <w:t xml:space="preserve"> individuals</w:t>
      </w:r>
      <w:r>
        <w:t xml:space="preserve"> are </w:t>
      </w:r>
      <w:r w:rsidR="0039749D">
        <w:t xml:space="preserve">geographically </w:t>
      </w:r>
      <w:r>
        <w:t xml:space="preserve">clustered in a few distinct areas, and this phenomenon will be explored below. </w:t>
      </w:r>
    </w:p>
    <w:p w:rsidR="00590738" w:rsidRDefault="00590738" w:rsidP="00590738">
      <w:r>
        <w:t>The SEIFI</w:t>
      </w:r>
      <w:r w:rsidR="0050054D" w:rsidRPr="0050054D">
        <w:t xml:space="preserve"> </w:t>
      </w:r>
      <w:r w:rsidR="0050054D">
        <w:t>IRSD</w:t>
      </w:r>
      <w:r>
        <w:t xml:space="preserve"> data has revealed that only 11.4% of the ACT </w:t>
      </w:r>
      <w:r w:rsidR="0039749D">
        <w:t xml:space="preserve">population </w:t>
      </w:r>
      <w:r w:rsidR="0050054D">
        <w:t xml:space="preserve">aged 15-64 </w:t>
      </w:r>
      <w:r w:rsidR="0039749D">
        <w:t>falls into Group 2.</w:t>
      </w:r>
      <w:r>
        <w:t xml:space="preserve"> This proportion is smaller than the proportion of ACT residents falling into the most disa</w:t>
      </w:r>
      <w:r w:rsidR="00B20548">
        <w:t>dvantaged quintile (12.6%) and</w:t>
      </w:r>
      <w:r>
        <w:t xml:space="preserve"> is also the smallest proportion of Group 2 residents across all Australian jurisdictions by several percentage points, where the next lowest proportion of Group 2 residents is 16.1% (Northern Territory), and the highest </w:t>
      </w:r>
      <w:r w:rsidR="0050054D">
        <w:t xml:space="preserve">is </w:t>
      </w:r>
      <w:r>
        <w:t>24.3% (Tasmania).</w:t>
      </w:r>
    </w:p>
    <w:p w:rsidR="00590738" w:rsidRDefault="00590738" w:rsidP="00590738">
      <w:r>
        <w:lastRenderedPageBreak/>
        <w:t xml:space="preserve">Only 3 of the 95 ACT suburbs have above average proportions of Group 2 </w:t>
      </w:r>
      <w:r w:rsidR="00634441">
        <w:t>residents aged 15-64</w:t>
      </w:r>
      <w:r>
        <w:t>, where two of these suburbs have population sizes under 100 and the third ha</w:t>
      </w:r>
      <w:r w:rsidR="00634441">
        <w:t>s</w:t>
      </w:r>
      <w:r>
        <w:t xml:space="preserve"> only 343 residents. In fact, only 52 ACT suburbs </w:t>
      </w:r>
      <w:r w:rsidR="00634441">
        <w:t xml:space="preserve">have proportions </w:t>
      </w:r>
      <w:r>
        <w:t xml:space="preserve">of Group 2 residents </w:t>
      </w:r>
      <w:r w:rsidR="00634441">
        <w:t>aged 15-64 of</w:t>
      </w:r>
      <w:r>
        <w:t xml:space="preserve"> more than 10%. Interestingly, however, all of the suburbs in the subdivision of Tuggeranong save one fall into this category, making up 18 suburbs of the 52. </w:t>
      </w:r>
      <w:r w:rsidR="0050054D">
        <w:t xml:space="preserve">Although the </w:t>
      </w:r>
      <w:proofErr w:type="gramStart"/>
      <w:r w:rsidR="0050054D">
        <w:t>proportion of Group 2 individuals in these suburb</w:t>
      </w:r>
      <w:r w:rsidR="001061EB">
        <w:t>s are</w:t>
      </w:r>
      <w:proofErr w:type="gramEnd"/>
      <w:r w:rsidR="001061EB">
        <w:t xml:space="preserve"> below average, Tuggeranong is home to 27% of the ACT population and is the most populous subdivision in the ACT. This translates to </w:t>
      </w:r>
      <w:r>
        <w:t xml:space="preserve">9525 individuals </w:t>
      </w:r>
      <w:r w:rsidR="00634441">
        <w:t xml:space="preserve">aged 15-64 </w:t>
      </w:r>
      <w:r w:rsidR="001061EB">
        <w:t>in</w:t>
      </w:r>
      <w:r>
        <w:t xml:space="preserve"> the second quintile of socio-economic disadvantage</w:t>
      </w:r>
      <w:r w:rsidR="000F2133">
        <w:t xml:space="preserve"> which makes up 36.6% of all 26,001 Group 2 individuals in the ACT</w:t>
      </w:r>
      <w:r>
        <w:t xml:space="preserve">. </w:t>
      </w:r>
      <w:r w:rsidR="000F2133">
        <w:t>Small-scale g</w:t>
      </w:r>
      <w:r>
        <w:t>eographic clustering o</w:t>
      </w:r>
      <w:r w:rsidR="000F2133">
        <w:t>f Group 2 residents in the ACT has</w:t>
      </w:r>
      <w:r>
        <w:t xml:space="preserve"> </w:t>
      </w:r>
      <w:r w:rsidR="00092ED5">
        <w:t xml:space="preserve">also </w:t>
      </w:r>
      <w:r>
        <w:t>be</w:t>
      </w:r>
      <w:r w:rsidR="000F2133">
        <w:t>en</w:t>
      </w:r>
      <w:r>
        <w:t xml:space="preserve"> observed in </w:t>
      </w:r>
      <w:proofErr w:type="spellStart"/>
      <w:r>
        <w:t>Belconnen</w:t>
      </w:r>
      <w:proofErr w:type="spellEnd"/>
      <w:r>
        <w:t xml:space="preserve">, where 7384 Group 2 individuals </w:t>
      </w:r>
      <w:r w:rsidR="00092ED5">
        <w:t xml:space="preserve">aged 15-64 </w:t>
      </w:r>
      <w:r>
        <w:t xml:space="preserve">(29%) reside.   </w:t>
      </w:r>
    </w:p>
    <w:p w:rsidR="00590738" w:rsidRDefault="00590738" w:rsidP="00590738">
      <w:pPr>
        <w:rPr>
          <w:rStyle w:val="Strong"/>
        </w:rPr>
      </w:pPr>
      <w:r>
        <w:t xml:space="preserve">Interestingly, one of the key findings of the Targeted Assistance Strategy </w:t>
      </w:r>
      <w:r w:rsidR="00114827">
        <w:t xml:space="preserve">(TAS) </w:t>
      </w:r>
      <w:r>
        <w:t>Data</w:t>
      </w:r>
      <w:r w:rsidR="00114827">
        <w:t xml:space="preserve"> Report for the ACT</w:t>
      </w:r>
      <w:r w:rsidR="000F2133">
        <w:t>,</w:t>
      </w:r>
      <w:r w:rsidR="00114827">
        <w:t xml:space="preserve"> </w:t>
      </w:r>
      <w:r w:rsidR="000F2133">
        <w:t>an analysis of</w:t>
      </w:r>
      <w:r w:rsidR="00114827">
        <w:t xml:space="preserve"> the cost of living in Canberra</w:t>
      </w:r>
      <w:r w:rsidR="000F2133">
        <w:t>,</w:t>
      </w:r>
      <w:r>
        <w:t xml:space="preserve"> was that household</w:t>
      </w:r>
      <w:r w:rsidR="00114827">
        <w:t>s</w:t>
      </w:r>
      <w:r>
        <w:t xml:space="preserve"> in the second</w:t>
      </w:r>
      <w:r w:rsidRPr="00AE21BB">
        <w:t xml:space="preserve"> income quintile (</w:t>
      </w:r>
      <w:r>
        <w:t xml:space="preserve">households </w:t>
      </w:r>
      <w:r w:rsidRPr="00AE21BB">
        <w:t>with low to moderate incomes) had a higher proportional expenditure on essential goods and services than did those households in the lowest income quintile</w:t>
      </w:r>
      <w:r w:rsidR="00DD7620">
        <w:t>. The report also found that</w:t>
      </w:r>
      <w:r>
        <w:t xml:space="preserve"> this expenditure has increased significantly over time. H</w:t>
      </w:r>
      <w:r w:rsidRPr="00AE21BB">
        <w:t xml:space="preserve">ouseholds </w:t>
      </w:r>
      <w:r>
        <w:t xml:space="preserve">in this quintile </w:t>
      </w:r>
      <w:r w:rsidRPr="00AE21BB">
        <w:t>are at greater risk of experiencing financial stress than households in the lowest income quintile and are less likely to seek support from welfare programs or community organisations</w:t>
      </w:r>
      <w:r w:rsidR="00DD7620">
        <w:rPr>
          <w:vertAlign w:val="superscript"/>
        </w:rPr>
        <w:t>21</w:t>
      </w:r>
      <w:r>
        <w:t xml:space="preserve">. Although this group cannot be directly equated with the SEIFI Group 2 population, it stands to reason that many of the individuals in the second quintile of socio-economic disadvantage may fall into both groups or share certain characteristics which make them similarly vulnerable to financial crises. </w:t>
      </w:r>
    </w:p>
    <w:p w:rsidR="00590738" w:rsidRPr="008230AD" w:rsidRDefault="00590738" w:rsidP="008230AD">
      <w:pPr>
        <w:pStyle w:val="Heading4"/>
      </w:pPr>
      <w:bookmarkStart w:id="54" w:name="_Toc358033212"/>
      <w:r w:rsidRPr="008230AD">
        <w:t>Isabella Plains</w:t>
      </w:r>
      <w:bookmarkEnd w:id="54"/>
    </w:p>
    <w:p w:rsidR="00590738" w:rsidRPr="007D3113"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SEIFA</w:t>
      </w:r>
      <w:r w:rsidR="00722146">
        <w:rPr>
          <w:b/>
          <w:color w:val="244061" w:themeColor="accent1" w:themeShade="80"/>
        </w:rPr>
        <w:t xml:space="preserve"> IRSD</w:t>
      </w:r>
      <w:r w:rsidRPr="007113B5">
        <w:rPr>
          <w:b/>
          <w:color w:val="244061" w:themeColor="accent1" w:themeShade="80"/>
        </w:rPr>
        <w:t xml:space="preserve"> and SEIFI </w:t>
      </w:r>
      <w:r w:rsidR="00722146">
        <w:rPr>
          <w:b/>
          <w:color w:val="244061" w:themeColor="accent1" w:themeShade="80"/>
        </w:rPr>
        <w:t xml:space="preserve">IRSD </w:t>
      </w:r>
      <w:r w:rsidRPr="007113B5">
        <w:rPr>
          <w:b/>
          <w:color w:val="244061" w:themeColor="accent1" w:themeShade="80"/>
        </w:rPr>
        <w:t xml:space="preserve">data, Suburb of </w:t>
      </w:r>
      <w:r>
        <w:rPr>
          <w:b/>
          <w:color w:val="244061" w:themeColor="accent1" w:themeShade="80"/>
        </w:rPr>
        <w:t>Isabella Plains</w:t>
      </w:r>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8</w:t>
            </w:r>
          </w:p>
        </w:tc>
        <w:tc>
          <w:tcPr>
            <w:tcW w:w="1237" w:type="dxa"/>
            <w:tcBorders>
              <w:left w:val="none" w:sz="0" w:space="0" w:color="auto"/>
              <w:right w:val="none" w:sz="0" w:space="0" w:color="auto"/>
            </w:tcBorders>
          </w:tcPr>
          <w:p w:rsidR="00590738" w:rsidRDefault="00590738" w:rsidP="00AA1B9F">
            <w:pPr>
              <w:jc w:val="center"/>
            </w:pPr>
            <w:r>
              <w:t>4,316</w:t>
            </w:r>
          </w:p>
        </w:tc>
        <w:tc>
          <w:tcPr>
            <w:tcW w:w="1236" w:type="dxa"/>
            <w:tcBorders>
              <w:left w:val="none" w:sz="0" w:space="0" w:color="auto"/>
              <w:right w:val="none" w:sz="0" w:space="0" w:color="auto"/>
            </w:tcBorders>
          </w:tcPr>
          <w:p w:rsidR="00590738" w:rsidRDefault="00590738" w:rsidP="00AA1B9F">
            <w:pPr>
              <w:jc w:val="center"/>
            </w:pPr>
            <w:r>
              <w:t>3,045</w:t>
            </w:r>
          </w:p>
        </w:tc>
        <w:tc>
          <w:tcPr>
            <w:tcW w:w="1235" w:type="dxa"/>
            <w:tcBorders>
              <w:left w:val="none" w:sz="0" w:space="0" w:color="auto"/>
              <w:right w:val="none" w:sz="0" w:space="0" w:color="auto"/>
            </w:tcBorders>
          </w:tcPr>
          <w:p w:rsidR="00590738" w:rsidRDefault="00384BAD" w:rsidP="00AA1B9F">
            <w:pPr>
              <w:jc w:val="center"/>
            </w:pPr>
            <w:r>
              <w:t>14.9</w:t>
            </w:r>
            <w:r w:rsidR="00590738">
              <w:t>%</w:t>
            </w:r>
          </w:p>
        </w:tc>
        <w:tc>
          <w:tcPr>
            <w:tcW w:w="1235" w:type="dxa"/>
            <w:tcBorders>
              <w:left w:val="none" w:sz="0" w:space="0" w:color="auto"/>
              <w:right w:val="none" w:sz="0" w:space="0" w:color="auto"/>
            </w:tcBorders>
          </w:tcPr>
          <w:p w:rsidR="00590738" w:rsidRDefault="00384BAD" w:rsidP="00AA1B9F">
            <w:pPr>
              <w:jc w:val="center"/>
            </w:pPr>
            <w:r>
              <w:t>18.9</w:t>
            </w:r>
            <w:r w:rsidR="00590738">
              <w:t>%</w:t>
            </w:r>
          </w:p>
        </w:tc>
        <w:tc>
          <w:tcPr>
            <w:tcW w:w="1235" w:type="dxa"/>
            <w:tcBorders>
              <w:left w:val="none" w:sz="0" w:space="0" w:color="auto"/>
              <w:right w:val="none" w:sz="0" w:space="0" w:color="auto"/>
            </w:tcBorders>
          </w:tcPr>
          <w:p w:rsidR="00590738" w:rsidRDefault="00384BAD" w:rsidP="00AA1B9F">
            <w:pPr>
              <w:jc w:val="center"/>
            </w:pPr>
            <w:r>
              <w:t>35.5</w:t>
            </w:r>
            <w:r w:rsidR="00590738">
              <w:t>%</w:t>
            </w:r>
          </w:p>
        </w:tc>
        <w:tc>
          <w:tcPr>
            <w:tcW w:w="1235" w:type="dxa"/>
            <w:tcBorders>
              <w:left w:val="none" w:sz="0" w:space="0" w:color="auto"/>
              <w:right w:val="none" w:sz="0" w:space="0" w:color="auto"/>
            </w:tcBorders>
          </w:tcPr>
          <w:p w:rsidR="00590738" w:rsidRDefault="00264C2E" w:rsidP="00AA1B9F">
            <w:pPr>
              <w:jc w:val="center"/>
            </w:pPr>
            <w:r>
              <w:t>30.6</w:t>
            </w:r>
            <w:r w:rsidR="00590738">
              <w:t>%</w:t>
            </w:r>
          </w:p>
        </w:tc>
        <w:tc>
          <w:tcPr>
            <w:tcW w:w="1024" w:type="dxa"/>
            <w:tcBorders>
              <w:left w:val="none" w:sz="0" w:space="0" w:color="auto"/>
            </w:tcBorders>
          </w:tcPr>
          <w:p w:rsidR="00590738" w:rsidRDefault="00590738" w:rsidP="00AA1B9F">
            <w:pPr>
              <w:jc w:val="center"/>
            </w:pPr>
            <w:r>
              <w:t>6</w:t>
            </w:r>
          </w:p>
        </w:tc>
      </w:tr>
    </w:tbl>
    <w:p w:rsidR="00590738" w:rsidRDefault="00590738" w:rsidP="00590738">
      <w:pPr>
        <w:spacing w:before="240"/>
      </w:pPr>
      <w:r>
        <w:t>Of the Isabella Plains population aged 15 and over, 2451 individuals or 72.7% participate in the labour force, the rate of unemployment it 3.2%, and 27.4% earn $400 or less in weekly income. Of the 341 rented dwellings in the suburb, 49 are public housing units. Median weekly rent in Isabella Plains is $260</w:t>
      </w:r>
      <w:r w:rsidR="00DD7620">
        <w:rPr>
          <w:vertAlign w:val="superscript"/>
        </w:rPr>
        <w:t>22</w:t>
      </w:r>
      <w:r>
        <w:t xml:space="preserve">. </w:t>
      </w:r>
    </w:p>
    <w:p w:rsidR="00590738" w:rsidRPr="006A58B9" w:rsidRDefault="00590738" w:rsidP="00590738">
      <w:pPr>
        <w:spacing w:before="240"/>
      </w:pPr>
      <w:r>
        <w:t xml:space="preserve">Though not the most populous suburb in Tuggeranong, Isabella Plains has the fourth greatest proportion of residents </w:t>
      </w:r>
      <w:r w:rsidR="00976CAF">
        <w:t xml:space="preserve">aged 15-64 </w:t>
      </w:r>
      <w:r>
        <w:t xml:space="preserve">in Group 2 </w:t>
      </w:r>
      <w:r w:rsidR="00976CAF">
        <w:t xml:space="preserve">across </w:t>
      </w:r>
      <w:r>
        <w:t>the ACT and the greatest proportion of Group 2 residents in ACT suburbs with over 350 residents aged 15 to 64.  Despite being home to 577 individuals</w:t>
      </w:r>
      <w:r w:rsidR="00976CAF">
        <w:t xml:space="preserve"> aged 15-64</w:t>
      </w:r>
      <w:r>
        <w:t xml:space="preserve"> who fall into </w:t>
      </w:r>
      <w:r w:rsidR="00976CAF">
        <w:t>Group 2</w:t>
      </w:r>
      <w:r>
        <w:t xml:space="preserve"> and 453 individuals </w:t>
      </w:r>
      <w:r w:rsidR="00976CAF">
        <w:t>aged 15-64 in Group 1</w:t>
      </w:r>
      <w:r>
        <w:t xml:space="preserve">, Isabella Plains has been attributed a SEIFA </w:t>
      </w:r>
      <w:r w:rsidR="00DD7620">
        <w:t xml:space="preserve">IRSD </w:t>
      </w:r>
      <w:r>
        <w:t xml:space="preserve">score of 8. Because a SEIFA </w:t>
      </w:r>
      <w:r w:rsidR="00DD7620">
        <w:t xml:space="preserve">IRSD </w:t>
      </w:r>
      <w:proofErr w:type="spellStart"/>
      <w:r>
        <w:t>decile</w:t>
      </w:r>
      <w:proofErr w:type="spellEnd"/>
      <w:r>
        <w:t xml:space="preserve"> score of 8 indicates that Isabella Plains experience</w:t>
      </w:r>
      <w:r w:rsidR="00722146">
        <w:t>s</w:t>
      </w:r>
      <w:r>
        <w:t xml:space="preserve"> very little relative disadvantage</w:t>
      </w:r>
      <w:r w:rsidR="00722146">
        <w:t xml:space="preserve"> overall</w:t>
      </w:r>
      <w:r>
        <w:t>, this suburb’s SEIFA</w:t>
      </w:r>
      <w:r w:rsidR="00722146" w:rsidRPr="00722146">
        <w:t xml:space="preserve"> </w:t>
      </w:r>
      <w:r w:rsidR="00722146">
        <w:t>IRSD</w:t>
      </w:r>
      <w:r>
        <w:t xml:space="preserve"> score masks the relative disadvantage of 2122 individuals</w:t>
      </w:r>
      <w:r w:rsidR="001F3D30">
        <w:t xml:space="preserve"> aged 15-64</w:t>
      </w:r>
      <w:r w:rsidR="00722146">
        <w:t xml:space="preserve"> at the suburb level</w:t>
      </w:r>
      <w:r>
        <w:t xml:space="preserve">, over </w:t>
      </w:r>
      <w:r w:rsidR="001F3D30">
        <w:t>one thousand</w:t>
      </w:r>
      <w:r>
        <w:t xml:space="preserve"> of whom fall into the most disadvantaged 40% of Australians. </w:t>
      </w:r>
      <w:r>
        <w:rPr>
          <w:vertAlign w:val="subscript"/>
        </w:rPr>
        <w:t xml:space="preserve"> </w:t>
      </w:r>
    </w:p>
    <w:p w:rsidR="00590738" w:rsidRPr="008230AD" w:rsidRDefault="00590738" w:rsidP="008230AD">
      <w:pPr>
        <w:pStyle w:val="Heading4"/>
      </w:pPr>
      <w:bookmarkStart w:id="55" w:name="_Toc358033213"/>
      <w:proofErr w:type="spellStart"/>
      <w:r w:rsidRPr="008230AD">
        <w:lastRenderedPageBreak/>
        <w:t>Kambah</w:t>
      </w:r>
      <w:bookmarkEnd w:id="55"/>
      <w:proofErr w:type="spellEnd"/>
    </w:p>
    <w:p w:rsidR="00590738" w:rsidRPr="00E577F8" w:rsidRDefault="00590738" w:rsidP="00612C2B">
      <w:pPr>
        <w:pStyle w:val="ListParagraph"/>
        <w:numPr>
          <w:ilvl w:val="0"/>
          <w:numId w:val="24"/>
        </w:numPr>
        <w:spacing w:after="0"/>
        <w:ind w:left="993" w:hanging="993"/>
        <w:rPr>
          <w:b/>
          <w:color w:val="244061" w:themeColor="accent1" w:themeShade="80"/>
        </w:rPr>
      </w:pPr>
      <w:r w:rsidRPr="007113B5">
        <w:rPr>
          <w:b/>
          <w:color w:val="244061" w:themeColor="accent1" w:themeShade="80"/>
        </w:rPr>
        <w:t xml:space="preserve">SEIFA </w:t>
      </w:r>
      <w:r w:rsidR="00722146">
        <w:rPr>
          <w:b/>
          <w:color w:val="244061" w:themeColor="accent1" w:themeShade="80"/>
        </w:rPr>
        <w:t xml:space="preserve">IRSD </w:t>
      </w:r>
      <w:r w:rsidRPr="007113B5">
        <w:rPr>
          <w:b/>
          <w:color w:val="244061" w:themeColor="accent1" w:themeShade="80"/>
        </w:rPr>
        <w:t>and SEIFI</w:t>
      </w:r>
      <w:r w:rsidR="00722146">
        <w:rPr>
          <w:b/>
          <w:color w:val="244061" w:themeColor="accent1" w:themeShade="80"/>
        </w:rPr>
        <w:t xml:space="preserve"> IRSD</w:t>
      </w:r>
      <w:r w:rsidRPr="007113B5">
        <w:rPr>
          <w:b/>
          <w:color w:val="244061" w:themeColor="accent1" w:themeShade="80"/>
        </w:rPr>
        <w:t xml:space="preserve"> data, Suburb of </w:t>
      </w:r>
      <w:proofErr w:type="spellStart"/>
      <w:r w:rsidR="00722146">
        <w:rPr>
          <w:b/>
          <w:color w:val="244061" w:themeColor="accent1" w:themeShade="80"/>
        </w:rPr>
        <w:t>Kambah</w:t>
      </w:r>
      <w:proofErr w:type="spellEnd"/>
    </w:p>
    <w:tbl>
      <w:tblPr>
        <w:tblStyle w:val="MediumShading1-Accent5"/>
        <w:tblpPr w:leftFromText="180" w:rightFromText="180" w:vertAnchor="text" w:horzAnchor="margin" w:tblpY="40"/>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20"/>
      </w:tblPr>
      <w:tblGrid>
        <w:gridCol w:w="1139"/>
        <w:gridCol w:w="1237"/>
        <w:gridCol w:w="1236"/>
        <w:gridCol w:w="1235"/>
        <w:gridCol w:w="1235"/>
        <w:gridCol w:w="1235"/>
        <w:gridCol w:w="1235"/>
        <w:gridCol w:w="1024"/>
      </w:tblGrid>
      <w:tr w:rsidR="00590738" w:rsidTr="00AA1B9F">
        <w:trPr>
          <w:cnfStyle w:val="100000000000"/>
          <w:trHeight w:val="412"/>
        </w:trPr>
        <w:tc>
          <w:tcPr>
            <w:tcW w:w="1139"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 xml:space="preserve">SEIFA </w:t>
            </w:r>
            <w:proofErr w:type="spellStart"/>
            <w:r w:rsidRPr="00DD3049">
              <w:rPr>
                <w:sz w:val="16"/>
                <w:szCs w:val="16"/>
              </w:rPr>
              <w:t>decile</w:t>
            </w:r>
            <w:proofErr w:type="spellEnd"/>
            <w:r w:rsidRPr="00DD3049">
              <w:rPr>
                <w:sz w:val="16"/>
                <w:szCs w:val="16"/>
              </w:rPr>
              <w:t xml:space="preserve"> score</w:t>
            </w:r>
          </w:p>
        </w:tc>
        <w:tc>
          <w:tcPr>
            <w:tcW w:w="1237"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Usual Resident Population</w:t>
            </w:r>
          </w:p>
        </w:tc>
        <w:tc>
          <w:tcPr>
            <w:tcW w:w="1236"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15 to 64 Year Old Population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1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2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3 Proportion</w:t>
            </w:r>
          </w:p>
        </w:tc>
        <w:tc>
          <w:tcPr>
            <w:tcW w:w="1235"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sidRPr="00DD3049">
              <w:rPr>
                <w:sz w:val="16"/>
                <w:szCs w:val="16"/>
              </w:rPr>
              <w:t>SEIFI Group 4 Proportion</w:t>
            </w:r>
          </w:p>
        </w:tc>
        <w:tc>
          <w:tcPr>
            <w:tcW w:w="1024" w:type="dxa"/>
            <w:tcBorders>
              <w:top w:val="none" w:sz="0" w:space="0" w:color="auto"/>
              <w:left w:val="none" w:sz="0" w:space="0" w:color="auto"/>
              <w:bottom w:val="none" w:sz="0" w:space="0" w:color="auto"/>
              <w:right w:val="none" w:sz="0" w:space="0" w:color="auto"/>
            </w:tcBorders>
          </w:tcPr>
          <w:p w:rsidR="00590738" w:rsidRPr="00DD3049" w:rsidRDefault="00590738" w:rsidP="00AA1B9F">
            <w:pPr>
              <w:jc w:val="center"/>
              <w:rPr>
                <w:sz w:val="16"/>
                <w:szCs w:val="16"/>
              </w:rPr>
            </w:pPr>
            <w:r>
              <w:rPr>
                <w:sz w:val="16"/>
                <w:szCs w:val="16"/>
              </w:rPr>
              <w:t>Number of CDs</w:t>
            </w:r>
          </w:p>
        </w:tc>
      </w:tr>
      <w:tr w:rsidR="00590738" w:rsidTr="00AA1B9F">
        <w:trPr>
          <w:cnfStyle w:val="000000100000"/>
          <w:trHeight w:val="274"/>
        </w:trPr>
        <w:tc>
          <w:tcPr>
            <w:tcW w:w="1139" w:type="dxa"/>
            <w:tcBorders>
              <w:right w:val="none" w:sz="0" w:space="0" w:color="auto"/>
            </w:tcBorders>
          </w:tcPr>
          <w:p w:rsidR="00590738" w:rsidRDefault="00590738" w:rsidP="00AA1B9F">
            <w:pPr>
              <w:jc w:val="center"/>
            </w:pPr>
            <w:r>
              <w:t>8</w:t>
            </w:r>
          </w:p>
        </w:tc>
        <w:tc>
          <w:tcPr>
            <w:tcW w:w="1237" w:type="dxa"/>
            <w:tcBorders>
              <w:left w:val="none" w:sz="0" w:space="0" w:color="auto"/>
              <w:right w:val="none" w:sz="0" w:space="0" w:color="auto"/>
            </w:tcBorders>
          </w:tcPr>
          <w:p w:rsidR="00590738" w:rsidRDefault="00590738" w:rsidP="00AA1B9F">
            <w:pPr>
              <w:jc w:val="center"/>
            </w:pPr>
            <w:r>
              <w:t>15,579</w:t>
            </w:r>
          </w:p>
        </w:tc>
        <w:tc>
          <w:tcPr>
            <w:tcW w:w="1236" w:type="dxa"/>
            <w:tcBorders>
              <w:left w:val="none" w:sz="0" w:space="0" w:color="auto"/>
              <w:right w:val="none" w:sz="0" w:space="0" w:color="auto"/>
            </w:tcBorders>
          </w:tcPr>
          <w:p w:rsidR="00590738" w:rsidRDefault="00590738" w:rsidP="00AA1B9F">
            <w:pPr>
              <w:jc w:val="center"/>
            </w:pPr>
            <w:r>
              <w:t>11,421</w:t>
            </w:r>
          </w:p>
        </w:tc>
        <w:tc>
          <w:tcPr>
            <w:tcW w:w="1235" w:type="dxa"/>
            <w:tcBorders>
              <w:left w:val="none" w:sz="0" w:space="0" w:color="auto"/>
              <w:right w:val="none" w:sz="0" w:space="0" w:color="auto"/>
            </w:tcBorders>
          </w:tcPr>
          <w:p w:rsidR="00590738" w:rsidRDefault="00264C2E" w:rsidP="00AA1B9F">
            <w:pPr>
              <w:jc w:val="center"/>
            </w:pPr>
            <w:r>
              <w:t>14.6</w:t>
            </w:r>
            <w:r w:rsidR="00590738">
              <w:t>%</w:t>
            </w:r>
          </w:p>
        </w:tc>
        <w:tc>
          <w:tcPr>
            <w:tcW w:w="1235" w:type="dxa"/>
            <w:tcBorders>
              <w:left w:val="none" w:sz="0" w:space="0" w:color="auto"/>
              <w:right w:val="none" w:sz="0" w:space="0" w:color="auto"/>
            </w:tcBorders>
          </w:tcPr>
          <w:p w:rsidR="00590738" w:rsidRDefault="00264C2E" w:rsidP="00AA1B9F">
            <w:pPr>
              <w:jc w:val="center"/>
            </w:pPr>
            <w:r>
              <w:t>13.7</w:t>
            </w:r>
            <w:r w:rsidR="00590738">
              <w:t>%</w:t>
            </w:r>
          </w:p>
        </w:tc>
        <w:tc>
          <w:tcPr>
            <w:tcW w:w="1235" w:type="dxa"/>
            <w:tcBorders>
              <w:left w:val="none" w:sz="0" w:space="0" w:color="auto"/>
              <w:right w:val="none" w:sz="0" w:space="0" w:color="auto"/>
            </w:tcBorders>
          </w:tcPr>
          <w:p w:rsidR="00590738" w:rsidRDefault="00590738" w:rsidP="00AA1B9F">
            <w:pPr>
              <w:jc w:val="center"/>
            </w:pPr>
            <w:r>
              <w:t>33</w:t>
            </w:r>
            <w:r w:rsidR="00264C2E">
              <w:t>.2</w:t>
            </w:r>
            <w:r>
              <w:t>%</w:t>
            </w:r>
          </w:p>
        </w:tc>
        <w:tc>
          <w:tcPr>
            <w:tcW w:w="1235" w:type="dxa"/>
            <w:tcBorders>
              <w:left w:val="none" w:sz="0" w:space="0" w:color="auto"/>
              <w:right w:val="none" w:sz="0" w:space="0" w:color="auto"/>
            </w:tcBorders>
          </w:tcPr>
          <w:p w:rsidR="00590738" w:rsidRDefault="00590738" w:rsidP="00AA1B9F">
            <w:pPr>
              <w:jc w:val="center"/>
            </w:pPr>
            <w:r>
              <w:t>38</w:t>
            </w:r>
            <w:r w:rsidR="00264C2E">
              <w:t>.4</w:t>
            </w:r>
            <w:r>
              <w:t>%</w:t>
            </w:r>
          </w:p>
        </w:tc>
        <w:tc>
          <w:tcPr>
            <w:tcW w:w="1024" w:type="dxa"/>
            <w:tcBorders>
              <w:left w:val="none" w:sz="0" w:space="0" w:color="auto"/>
            </w:tcBorders>
          </w:tcPr>
          <w:p w:rsidR="00590738" w:rsidRDefault="00590738" w:rsidP="00AA1B9F">
            <w:pPr>
              <w:jc w:val="center"/>
            </w:pPr>
            <w:r>
              <w:t>25</w:t>
            </w:r>
          </w:p>
        </w:tc>
      </w:tr>
    </w:tbl>
    <w:p w:rsidR="00590738" w:rsidRPr="00E577F8" w:rsidRDefault="00590738" w:rsidP="00590738"/>
    <w:p w:rsidR="00590738" w:rsidRDefault="00590738" w:rsidP="00590738">
      <w:pPr>
        <w:spacing w:before="240"/>
      </w:pPr>
      <w:r>
        <w:t xml:space="preserve">The suburb of </w:t>
      </w:r>
      <w:proofErr w:type="spellStart"/>
      <w:r>
        <w:t>Kambah</w:t>
      </w:r>
      <w:proofErr w:type="spellEnd"/>
      <w:r>
        <w:t xml:space="preserve"> in Tuggeranong has the largest usual resident population in the Australian Capital Territory, surpassing the next most populous ACT suburb by more than 6,600 additional residents. 68.8% of the </w:t>
      </w:r>
      <w:proofErr w:type="spellStart"/>
      <w:r>
        <w:t>Kambah</w:t>
      </w:r>
      <w:proofErr w:type="spellEnd"/>
      <w:r>
        <w:t xml:space="preserve"> population aged 15 and over participate in the labour force, 3.2% are unemployed</w:t>
      </w:r>
      <w:r w:rsidR="00722146">
        <w:t xml:space="preserve"> and looking for work</w:t>
      </w:r>
      <w:r>
        <w:t>, and 27.4% earn less $400 per week. Median weekly rent in the area is $230, and of the 1244 rented properties, 521 are rented through Housing and Community Services ACT to those in need of public housing assistance</w:t>
      </w:r>
      <w:r w:rsidR="00454EF3">
        <w:rPr>
          <w:vertAlign w:val="superscript"/>
        </w:rPr>
        <w:t>23</w:t>
      </w:r>
      <w:r>
        <w:t xml:space="preserve">. </w:t>
      </w:r>
    </w:p>
    <w:p w:rsidR="00590738" w:rsidRDefault="00590738" w:rsidP="00590738">
      <w:pPr>
        <w:spacing w:before="240"/>
      </w:pPr>
      <w:r>
        <w:t xml:space="preserve">An above average proportion of </w:t>
      </w:r>
      <w:proofErr w:type="spellStart"/>
      <w:r>
        <w:t>Kambah</w:t>
      </w:r>
      <w:proofErr w:type="spellEnd"/>
      <w:r>
        <w:t xml:space="preserve"> residents experience little to no relative disadvantage, which is consistent with its designated SEIFA</w:t>
      </w:r>
      <w:r w:rsidR="00454EF3">
        <w:t xml:space="preserve"> IRSD</w:t>
      </w:r>
      <w:r>
        <w:t xml:space="preserve"> </w:t>
      </w:r>
      <w:proofErr w:type="spellStart"/>
      <w:r>
        <w:t>decile</w:t>
      </w:r>
      <w:proofErr w:type="spellEnd"/>
      <w:r>
        <w:t xml:space="preserve"> score of 8. Although the proportions of </w:t>
      </w:r>
      <w:proofErr w:type="spellStart"/>
      <w:r>
        <w:t>Kambah</w:t>
      </w:r>
      <w:proofErr w:type="spellEnd"/>
      <w:r>
        <w:t xml:space="preserve"> residents falling into </w:t>
      </w:r>
      <w:r w:rsidR="000959D7">
        <w:t>Groups 1 and 2</w:t>
      </w:r>
      <w:r>
        <w:t xml:space="preserve"> are both below the national average</w:t>
      </w:r>
      <w:r w:rsidR="000959D7">
        <w:t xml:space="preserve"> (14.6</w:t>
      </w:r>
      <w:r>
        <w:t xml:space="preserve">% and </w:t>
      </w:r>
      <w:r w:rsidR="000959D7">
        <w:t>13.7</w:t>
      </w:r>
      <w:r>
        <w:t>%</w:t>
      </w:r>
      <w:r w:rsidR="000959D7">
        <w:t>, respectively)</w:t>
      </w:r>
      <w:r>
        <w:t>, their proportions remain relatively high</w:t>
      </w:r>
      <w:r w:rsidR="00454EF3">
        <w:t xml:space="preserve"> among ACT suburbs. Because of </w:t>
      </w:r>
      <w:proofErr w:type="spellStart"/>
      <w:r w:rsidR="00454EF3">
        <w:t>Kambah</w:t>
      </w:r>
      <w:r>
        <w:t>’s</w:t>
      </w:r>
      <w:proofErr w:type="spellEnd"/>
      <w:r>
        <w:t xml:space="preserve"> sizeable population, these proportions </w:t>
      </w:r>
      <w:r w:rsidR="000959D7">
        <w:t>translate and sum</w:t>
      </w:r>
      <w:r>
        <w:t xml:space="preserve"> to 3238 residents </w:t>
      </w:r>
      <w:r w:rsidR="000959D7">
        <w:t xml:space="preserve">aged 15-64 </w:t>
      </w:r>
      <w:r>
        <w:t>who fall among the most disadvantaged 40% of Australians</w:t>
      </w:r>
      <w:r w:rsidR="000959D7">
        <w:t xml:space="preserve"> in that age group</w:t>
      </w:r>
      <w:r w:rsidR="00AB1EE1">
        <w:t>, including 1672 Group 1 residents and 1566 Group 2 residents</w:t>
      </w:r>
      <w:r>
        <w:t xml:space="preserve">. Added to that is another 3793 residents </w:t>
      </w:r>
      <w:r w:rsidR="000959D7">
        <w:t xml:space="preserve">aged 15-64 </w:t>
      </w:r>
      <w:r>
        <w:t>who fall within 5</w:t>
      </w:r>
      <w:r w:rsidRPr="00A33381">
        <w:rPr>
          <w:vertAlign w:val="superscript"/>
        </w:rPr>
        <w:t>th</w:t>
      </w:r>
      <w:r>
        <w:t xml:space="preserve"> and 7</w:t>
      </w:r>
      <w:r w:rsidRPr="00A33381">
        <w:rPr>
          <w:vertAlign w:val="superscript"/>
        </w:rPr>
        <w:t>th</w:t>
      </w:r>
      <w:r>
        <w:t xml:space="preserve"> deciles of relative disadvantage, together totalling 7031 residents in </w:t>
      </w:r>
      <w:proofErr w:type="spellStart"/>
      <w:r>
        <w:t>Kambah</w:t>
      </w:r>
      <w:proofErr w:type="spellEnd"/>
      <w:r>
        <w:t xml:space="preserve"> alone whose relative socio-economic disadvantage is masked when the suburb’s SEIFA </w:t>
      </w:r>
      <w:proofErr w:type="spellStart"/>
      <w:r>
        <w:t>decile</w:t>
      </w:r>
      <w:proofErr w:type="spellEnd"/>
      <w:r>
        <w:t xml:space="preserve"> score of 8 is used as a proxy measure </w:t>
      </w:r>
      <w:r w:rsidR="00AB1EE1">
        <w:t>for individual level</w:t>
      </w:r>
      <w:r>
        <w:t xml:space="preserve"> disadvantage. </w:t>
      </w:r>
    </w:p>
    <w:p w:rsidR="00B507B5" w:rsidRDefault="00B507B5">
      <w:pPr>
        <w:rPr>
          <w:rFonts w:eastAsiaTheme="majorEastAsia" w:cstheme="majorBidi"/>
          <w:b/>
          <w:bCs/>
          <w:caps/>
          <w:color w:val="244061" w:themeColor="accent1" w:themeShade="80"/>
          <w:sz w:val="28"/>
          <w:szCs w:val="28"/>
        </w:rPr>
      </w:pPr>
      <w:bookmarkStart w:id="56" w:name="_Section_3:_Compendium"/>
      <w:bookmarkEnd w:id="56"/>
      <w:r>
        <w:br w:type="page"/>
      </w:r>
    </w:p>
    <w:p w:rsidR="00D03466" w:rsidRDefault="00D03466" w:rsidP="00F81334">
      <w:pPr>
        <w:pStyle w:val="Heading1"/>
      </w:pPr>
      <w:bookmarkStart w:id="57" w:name="_Toc358033214"/>
      <w:r>
        <w:lastRenderedPageBreak/>
        <w:t xml:space="preserve">Section </w:t>
      </w:r>
      <w:r w:rsidR="00267561">
        <w:t>3</w:t>
      </w:r>
      <w:r>
        <w:t xml:space="preserve">: </w:t>
      </w:r>
      <w:r w:rsidR="00AB2C5A">
        <w:t>Discussion</w:t>
      </w:r>
      <w:bookmarkEnd w:id="57"/>
    </w:p>
    <w:p w:rsidR="00AB2C5A" w:rsidRDefault="00AB2C5A" w:rsidP="008230AD">
      <w:pPr>
        <w:pStyle w:val="Heading2"/>
      </w:pPr>
      <w:bookmarkStart w:id="58" w:name="_Toc358033215"/>
      <w:r>
        <w:t>Key Findings</w:t>
      </w:r>
      <w:bookmarkEnd w:id="58"/>
    </w:p>
    <w:p w:rsidR="000040CF" w:rsidRDefault="00233E8A" w:rsidP="00E31617">
      <w:r>
        <w:t xml:space="preserve">As Wise and Mathews (2011) were careful to remind us, SEIFA can be an extremely valuable tool for measuring the overall </w:t>
      </w:r>
      <w:r w:rsidR="00497BCF">
        <w:t xml:space="preserve">attributes of a local population as well as </w:t>
      </w:r>
      <w:r>
        <w:t>relativ</w:t>
      </w:r>
      <w:r w:rsidR="00DE22F2">
        <w:t>e access to public resources,</w:t>
      </w:r>
      <w:r>
        <w:t xml:space="preserve"> infrastructure</w:t>
      </w:r>
      <w:r w:rsidR="00DE22F2">
        <w:t>,</w:t>
      </w:r>
      <w:r>
        <w:t xml:space="preserve"> </w:t>
      </w:r>
      <w:r w:rsidR="009321C1">
        <w:t xml:space="preserve">and other facilities which allow residents of an area to be productive members of the community. </w:t>
      </w:r>
      <w:r w:rsidR="00DE22F2">
        <w:t xml:space="preserve">SEIFI conflicts with SEIFA only wherever SEIFA is used a proxy measure for the </w:t>
      </w:r>
      <w:r w:rsidR="000040CF">
        <w:t xml:space="preserve">relative socio-economic disadvantage of individuals, particularly in circumstances where the ACT is in competition for resources </w:t>
      </w:r>
      <w:r w:rsidR="00497BCF">
        <w:t>with</w:t>
      </w:r>
      <w:r w:rsidR="000040CF">
        <w:t xml:space="preserve"> other jurisdictions at the national level. </w:t>
      </w:r>
      <w:r w:rsidR="006767C0">
        <w:t>To reiterate, area-level and individual-level socio-economic disadvantage are related but separate</w:t>
      </w:r>
      <w:r w:rsidR="005227D6">
        <w:t xml:space="preserve"> concepts</w:t>
      </w:r>
      <w:r w:rsidR="006767C0">
        <w:t xml:space="preserve">, and while many population </w:t>
      </w:r>
      <w:r w:rsidR="005227D6">
        <w:t>attributes</w:t>
      </w:r>
      <w:r w:rsidR="006767C0">
        <w:t xml:space="preserve"> contribute to both, </w:t>
      </w:r>
      <w:r w:rsidR="00497BCF">
        <w:t>SEIFA describes the characteristics of a community or neighbourhood while SEIFI describes the characteristics of the individuals within that community. C</w:t>
      </w:r>
      <w:r w:rsidR="005227D6">
        <w:t xml:space="preserve">aution must be taken </w:t>
      </w:r>
      <w:r w:rsidR="00E31617">
        <w:t>when</w:t>
      </w:r>
      <w:r w:rsidR="005227D6">
        <w:t xml:space="preserve"> drawing conclusions </w:t>
      </w:r>
      <w:r w:rsidR="00E31617">
        <w:t>if</w:t>
      </w:r>
      <w:r w:rsidR="005227D6">
        <w:t xml:space="preserve"> SEIFA or SEIFI is applied outside of its intended context</w:t>
      </w:r>
      <w:r w:rsidR="00497BCF">
        <w:rPr>
          <w:vertAlign w:val="superscript"/>
        </w:rPr>
        <w:t>24</w:t>
      </w:r>
      <w:r w:rsidR="000040CF">
        <w:t xml:space="preserve">. </w:t>
      </w:r>
    </w:p>
    <w:p w:rsidR="00655D85" w:rsidRDefault="001C3812" w:rsidP="00E31617">
      <w:r>
        <w:t>The SEIFI IRSD data for the ACT has confirmed that SEIFA</w:t>
      </w:r>
      <w:r w:rsidR="00497BCF" w:rsidRPr="00497BCF">
        <w:t xml:space="preserve"> </w:t>
      </w:r>
      <w:r w:rsidR="00497BCF">
        <w:t>IRSD</w:t>
      </w:r>
      <w:r>
        <w:t xml:space="preserve"> is not an appropriate measure of individual relative socio-economic disadvantage for the ACT population aged 15 to 64. The analysis of SEIFI </w:t>
      </w:r>
      <w:r w:rsidR="00497BCF">
        <w:t xml:space="preserve">IRSD </w:t>
      </w:r>
      <w:r>
        <w:t>data</w:t>
      </w:r>
      <w:r w:rsidR="00036E8B">
        <w:t xml:space="preserve"> revealed that a total of 1</w:t>
      </w:r>
      <w:r w:rsidR="007E4F37">
        <w:t>01</w:t>
      </w:r>
      <w:r w:rsidR="00036E8B">
        <w:t>,</w:t>
      </w:r>
      <w:r w:rsidR="007E4F37">
        <w:t>077</w:t>
      </w:r>
      <w:r>
        <w:t xml:space="preserve"> individuals or </w:t>
      </w:r>
      <w:r w:rsidR="007E4F37">
        <w:t>44.0</w:t>
      </w:r>
      <w:r w:rsidR="00036E8B">
        <w:t>%</w:t>
      </w:r>
      <w:r w:rsidR="009A39CB">
        <w:t xml:space="preserve"> of the ACT population aged 15 to 64  experience a level of relative socio-economic disadvantage that is greater than the level described by the SEIFA score of the </w:t>
      </w:r>
      <w:r w:rsidR="007E4F37">
        <w:t>CD</w:t>
      </w:r>
      <w:r w:rsidR="009A39CB">
        <w:t xml:space="preserve"> they </w:t>
      </w:r>
      <w:r w:rsidR="007E4F37">
        <w:t>reside</w:t>
      </w:r>
      <w:r w:rsidR="009A39CB">
        <w:t xml:space="preserve"> in. While many of these individuals </w:t>
      </w:r>
      <w:r w:rsidR="008B05F7">
        <w:t xml:space="preserve">only </w:t>
      </w:r>
      <w:r w:rsidR="009A39CB">
        <w:t xml:space="preserve">experience </w:t>
      </w:r>
      <w:r w:rsidR="008B05F7">
        <w:t xml:space="preserve">mild </w:t>
      </w:r>
      <w:r w:rsidR="009A39CB">
        <w:t xml:space="preserve">socio-economic disadvantage, </w:t>
      </w:r>
      <w:r w:rsidR="007E4F37">
        <w:t>22.4% of this age group falls into the most disadvantaged 40% of all Australians.</w:t>
      </w:r>
      <w:r w:rsidR="00E268A7">
        <w:t xml:space="preserve"> As described in </w:t>
      </w:r>
      <w:r w:rsidR="00E268A7" w:rsidRPr="00497BCF">
        <w:rPr>
          <w:b/>
        </w:rPr>
        <w:t>Table 2</w:t>
      </w:r>
      <w:r w:rsidR="00E268A7">
        <w:t xml:space="preserve">, </w:t>
      </w:r>
      <w:r w:rsidR="00CE40D4">
        <w:t xml:space="preserve">when categorised by the SEIFA </w:t>
      </w:r>
      <w:r w:rsidR="004935E7">
        <w:t xml:space="preserve">IRSD </w:t>
      </w:r>
      <w:r w:rsidR="00CE40D4">
        <w:t xml:space="preserve">score of the CD they reside in, the number of Group 1 and 2 residents </w:t>
      </w:r>
      <w:r w:rsidR="00E268A7">
        <w:t xml:space="preserve">increases rather than decreases </w:t>
      </w:r>
      <w:r w:rsidR="00CE40D4">
        <w:t>with higher</w:t>
      </w:r>
      <w:r w:rsidR="00E268A7">
        <w:t xml:space="preserve"> SEIFA score</w:t>
      </w:r>
      <w:r w:rsidR="00CE40D4">
        <w:t>s.</w:t>
      </w:r>
      <w:r w:rsidR="007E4F37">
        <w:t xml:space="preserve"> </w:t>
      </w:r>
      <w:r w:rsidR="008B05F7">
        <w:t xml:space="preserve">SEIFI </w:t>
      </w:r>
      <w:r w:rsidR="004935E7">
        <w:t xml:space="preserve">IRSD </w:t>
      </w:r>
      <w:r w:rsidR="008B05F7">
        <w:t xml:space="preserve">has identified over 28,000 individuals in the ACT who fall into the most disadvantaged quintile of Australians, 12,726 of whom live in areas </w:t>
      </w:r>
      <w:r w:rsidR="007B70F2">
        <w:t>with SEIFA scores of 8 or higher</w:t>
      </w:r>
      <w:r w:rsidR="00CD7ABB">
        <w:t>. SEIFI has also identified</w:t>
      </w:r>
      <w:r w:rsidR="005867BB">
        <w:t xml:space="preserve"> </w:t>
      </w:r>
      <w:r w:rsidR="00CE40D4">
        <w:t xml:space="preserve">26,000 individuals in the ACT who fall into </w:t>
      </w:r>
      <w:r w:rsidR="005867BB">
        <w:t>Group 2</w:t>
      </w:r>
      <w:r w:rsidR="00A01893">
        <w:t>, the second most disadvantaged cohort of Australians</w:t>
      </w:r>
      <w:r w:rsidR="00CD7ABB">
        <w:t>, 15,868 of whom live in areas with SEIFA scores of 8 or higher</w:t>
      </w:r>
      <w:r w:rsidR="00A01893">
        <w:t xml:space="preserve">. </w:t>
      </w:r>
    </w:p>
    <w:p w:rsidR="007635AF" w:rsidRDefault="00086615" w:rsidP="00E31617">
      <w:r>
        <w:t xml:space="preserve">One of the most significant </w:t>
      </w:r>
      <w:r w:rsidR="004935E7">
        <w:t>findings</w:t>
      </w:r>
      <w:r>
        <w:t xml:space="preserve"> of the SEIFI </w:t>
      </w:r>
      <w:r w:rsidR="004935E7">
        <w:t xml:space="preserve">IRSD </w:t>
      </w:r>
      <w:r>
        <w:t xml:space="preserve">analysis </w:t>
      </w:r>
      <w:r w:rsidR="004935E7">
        <w:t xml:space="preserve">for the ACT </w:t>
      </w:r>
      <w:r>
        <w:t xml:space="preserve">was that the relationship between SEIFA </w:t>
      </w:r>
      <w:r w:rsidR="004935E7">
        <w:t xml:space="preserve">IRSD </w:t>
      </w:r>
      <w:r>
        <w:t xml:space="preserve">scores and SEIFI </w:t>
      </w:r>
      <w:r w:rsidR="004935E7">
        <w:t xml:space="preserve">IRSD </w:t>
      </w:r>
      <w:r>
        <w:t xml:space="preserve">distributions for geographic areas in the </w:t>
      </w:r>
      <w:r w:rsidR="004935E7">
        <w:t>Territory</w:t>
      </w:r>
      <w:r>
        <w:t xml:space="preserve"> is </w:t>
      </w:r>
      <w:r w:rsidR="00493825">
        <w:t xml:space="preserve">inconsistent, making it extremely challenging to accurately interpret SEIFA when is it used as a proxy for individual-level disadvantage. </w:t>
      </w:r>
      <w:r w:rsidR="007635AF">
        <w:t xml:space="preserve">Neighbouring suburbs like </w:t>
      </w:r>
      <w:proofErr w:type="spellStart"/>
      <w:r w:rsidR="007635AF">
        <w:t>Braddon</w:t>
      </w:r>
      <w:proofErr w:type="spellEnd"/>
      <w:r w:rsidR="007635AF">
        <w:t xml:space="preserve"> and Ainslie can have significantly different SEIFA scores or area-level disadvantage</w:t>
      </w:r>
      <w:r w:rsidR="0079224C">
        <w:t>,</w:t>
      </w:r>
      <w:r w:rsidR="007635AF">
        <w:t xml:space="preserve"> </w:t>
      </w:r>
      <w:r w:rsidR="00C562A4">
        <w:t xml:space="preserve">but relatively similar distributions of individual relative socio-economic disadvantage. Conversely, neighbours </w:t>
      </w:r>
      <w:proofErr w:type="spellStart"/>
      <w:r w:rsidR="00C562A4">
        <w:t>Rivett</w:t>
      </w:r>
      <w:proofErr w:type="spellEnd"/>
      <w:r w:rsidR="00C562A4">
        <w:t xml:space="preserve"> and Chapman have similar SEIFA scores but entirely different distributions of disadvantage at the individual level. </w:t>
      </w:r>
      <w:r w:rsidR="004935E7">
        <w:t xml:space="preserve">Further, </w:t>
      </w:r>
      <w:r w:rsidR="00847F79">
        <w:t xml:space="preserve">ACT collection districts </w:t>
      </w:r>
      <w:r w:rsidR="0079224C">
        <w:t xml:space="preserve">with above average proportions of both the most and the least disadvantaged cohorts </w:t>
      </w:r>
      <w:r w:rsidR="00847F79">
        <w:t xml:space="preserve">living together have SEIFA scores that range from 1 to </w:t>
      </w:r>
      <w:r w:rsidR="00B9022F">
        <w:t xml:space="preserve">9, making it impossible for the SEIFA score to </w:t>
      </w:r>
      <w:r w:rsidR="00BD4B29">
        <w:t xml:space="preserve">reliably </w:t>
      </w:r>
      <w:r w:rsidR="00737B94">
        <w:t xml:space="preserve">describe the high level of socio-economic diversity within areas, a unique feature </w:t>
      </w:r>
      <w:r w:rsidR="00BD4B29">
        <w:t>of the ACT</w:t>
      </w:r>
      <w:r w:rsidR="00B3394E">
        <w:t xml:space="preserve"> that has a significant impact on policy and service delivery across the Territory</w:t>
      </w:r>
      <w:r w:rsidR="00BD4B29">
        <w:t xml:space="preserve">. </w:t>
      </w:r>
    </w:p>
    <w:p w:rsidR="004935E7" w:rsidRDefault="004935E7">
      <w:pPr>
        <w:rPr>
          <w:rFonts w:eastAsiaTheme="majorEastAsia" w:cstheme="majorBidi"/>
          <w:b/>
          <w:bCs/>
          <w:i/>
          <w:color w:val="31849B" w:themeColor="accent5" w:themeShade="BF"/>
          <w:sz w:val="24"/>
          <w:szCs w:val="24"/>
        </w:rPr>
      </w:pPr>
      <w:r>
        <w:br w:type="page"/>
      </w:r>
    </w:p>
    <w:p w:rsidR="00AB2C5A" w:rsidRDefault="00AB2C5A" w:rsidP="008230AD">
      <w:pPr>
        <w:pStyle w:val="Heading2"/>
      </w:pPr>
      <w:bookmarkStart w:id="59" w:name="_Toc358033216"/>
      <w:r>
        <w:lastRenderedPageBreak/>
        <w:t>Limitations</w:t>
      </w:r>
      <w:bookmarkEnd w:id="59"/>
    </w:p>
    <w:p w:rsidR="00507F81" w:rsidRDefault="00507F81" w:rsidP="00507F81">
      <w:r>
        <w:t xml:space="preserve">In order for the SEIFI indexes to become a valuable </w:t>
      </w:r>
      <w:r w:rsidR="0049736A">
        <w:t xml:space="preserve">systemic </w:t>
      </w:r>
      <w:r>
        <w:t>measure of relative socio-economic disadvantage, the construction of SEIFI needs to be repeated on a regular basis using the most up-to-date methodology and data available. In their 2011 paper, Wise and Mathews identified several methodological issues with SEIFI that have yet to be resolved, including:</w:t>
      </w:r>
    </w:p>
    <w:p w:rsidR="00777F90" w:rsidRDefault="00507F81" w:rsidP="00612C2B">
      <w:pPr>
        <w:pStyle w:val="ListParagraph"/>
        <w:numPr>
          <w:ilvl w:val="0"/>
          <w:numId w:val="13"/>
        </w:numPr>
      </w:pPr>
      <w:r>
        <w:t xml:space="preserve">the need for </w:t>
      </w:r>
      <w:r w:rsidR="00764D1E">
        <w:t>a consensus on the definit</w:t>
      </w:r>
      <w:r w:rsidR="00326118">
        <w:t>ion and conceptual framework for</w:t>
      </w:r>
      <w:r>
        <w:t xml:space="preserve"> individual disadvantage, the best set of variables to measure it, and</w:t>
      </w:r>
      <w:r w:rsidR="00326118">
        <w:t xml:space="preserve"> the</w:t>
      </w:r>
      <w:r>
        <w:t xml:space="preserve"> means for validating individual</w:t>
      </w:r>
      <w:r w:rsidR="00326118">
        <w:t>-</w:t>
      </w:r>
      <w:r>
        <w:t xml:space="preserve">level indexes, </w:t>
      </w:r>
    </w:p>
    <w:p w:rsidR="00777F90" w:rsidRDefault="00777F90" w:rsidP="00612C2B">
      <w:pPr>
        <w:pStyle w:val="ListParagraph"/>
        <w:numPr>
          <w:ilvl w:val="0"/>
          <w:numId w:val="13"/>
        </w:numPr>
      </w:pPr>
      <w:r>
        <w:t>reassessing the issue of individual level diversity once the new ASGS geography standard is introduced and the 2011 Census data is available, and</w:t>
      </w:r>
    </w:p>
    <w:p w:rsidR="00507F81" w:rsidRDefault="00507F81" w:rsidP="00612C2B">
      <w:pPr>
        <w:pStyle w:val="ListParagraph"/>
        <w:numPr>
          <w:ilvl w:val="0"/>
          <w:numId w:val="13"/>
        </w:numPr>
      </w:pPr>
      <w:proofErr w:type="gramStart"/>
      <w:r>
        <w:t>the</w:t>
      </w:r>
      <w:proofErr w:type="gramEnd"/>
      <w:r>
        <w:t xml:space="preserve"> need to determine how SEIFI could be integrated with the existing SEIFA product to optimise the use of available information in evidence-based policy while minimising confusion</w:t>
      </w:r>
      <w:r w:rsidR="00777F90">
        <w:t>.</w:t>
      </w:r>
    </w:p>
    <w:p w:rsidR="00FE1751" w:rsidRDefault="00326118" w:rsidP="00247AD3">
      <w:r>
        <w:t>Another key methodological limitation</w:t>
      </w:r>
      <w:r w:rsidR="00B04094">
        <w:t xml:space="preserve"> of the 2006 SEIFI </w:t>
      </w:r>
      <w:r w:rsidR="00F27DDA">
        <w:t>IRSD index is that</w:t>
      </w:r>
      <w:r w:rsidR="00E25600">
        <w:t xml:space="preserve"> individual responses were excluded if they were not included in the 2006 SEIFA analysis or if they did not or were not able to respond to all </w:t>
      </w:r>
      <w:r w:rsidR="00B60FA9">
        <w:t>relevant Census data items</w:t>
      </w:r>
      <w:r w:rsidR="00E25600">
        <w:t xml:space="preserve"> on personal, family, and dwelling characteristics </w:t>
      </w:r>
      <w:r w:rsidR="00B60FA9">
        <w:t>that</w:t>
      </w:r>
      <w:r w:rsidR="00E25600">
        <w:t xml:space="preserve"> inform the variables used to calculate SEIFI.</w:t>
      </w:r>
      <w:r w:rsidR="00247AD3">
        <w:t xml:space="preserve"> As a result, </w:t>
      </w:r>
      <w:r w:rsidR="00B60FA9">
        <w:t>SEIFI scores were only constructed for Australians aged</w:t>
      </w:r>
      <w:r w:rsidR="00247AD3">
        <w:t xml:space="preserve"> 15 to 64, and based on these criteria, a total of 6,699,089 individuals were excluded. This corresponds to roughly one-third of the total Australian population. The implication of these exclusions is that the SEIFA indexes, which comparatively only exclude 0.6% of the </w:t>
      </w:r>
      <w:r w:rsidR="00B60FA9">
        <w:t>Australian</w:t>
      </w:r>
      <w:r w:rsidR="00247AD3">
        <w:t xml:space="preserve"> population, is a significantly more robust </w:t>
      </w:r>
      <w:r w:rsidR="00B60FA9">
        <w:t xml:space="preserve">and representative </w:t>
      </w:r>
      <w:r w:rsidR="00247AD3">
        <w:t>measure.</w:t>
      </w:r>
      <w:r w:rsidR="00FE1751">
        <w:t xml:space="preserve"> Because SEIFA has been in use for many years, it has been conceptually tested and validated as an area-level measure. </w:t>
      </w:r>
      <w:r w:rsidR="00247AD3">
        <w:t xml:space="preserve"> </w:t>
      </w:r>
    </w:p>
    <w:p w:rsidR="00247AD3" w:rsidRDefault="00FE1751" w:rsidP="00247AD3">
      <w:r>
        <w:t xml:space="preserve">In order for SEIFI to become an equally valuable and </w:t>
      </w:r>
      <w:r w:rsidR="008A219D">
        <w:t xml:space="preserve">valid measure of individual-level disadvantage, </w:t>
      </w:r>
      <w:r w:rsidR="005C18AF">
        <w:t>t</w:t>
      </w:r>
      <w:r w:rsidR="008A219D">
        <w:t>he formulation of age-specific indexes has</w:t>
      </w:r>
      <w:r w:rsidR="005C18AF">
        <w:t xml:space="preserve"> also</w:t>
      </w:r>
      <w:r w:rsidR="008A219D">
        <w:t xml:space="preserve"> been recommended, which may be extremely valuable for providing targeted services to children and the aged, two vulnerable population subgroups that are of particular interest to governments and community service providers</w:t>
      </w:r>
      <w:r w:rsidR="007E5281">
        <w:rPr>
          <w:vertAlign w:val="superscript"/>
        </w:rPr>
        <w:t>25</w:t>
      </w:r>
      <w:r w:rsidR="00875084">
        <w:t>.</w:t>
      </w:r>
      <w:r w:rsidR="007E5281">
        <w:t xml:space="preserve"> </w:t>
      </w:r>
      <w:r w:rsidR="00D71A91">
        <w:t xml:space="preserve">The development of a similarly constructed household-level index may </w:t>
      </w:r>
      <w:r w:rsidR="00CB423C">
        <w:t xml:space="preserve">also </w:t>
      </w:r>
      <w:r w:rsidR="00D71A91">
        <w:t xml:space="preserve">be a valuable and meaningful alternative and should be scoped. </w:t>
      </w:r>
      <w:r w:rsidR="007E5281">
        <w:t xml:space="preserve">Further research will also be required to document the relationship between SEIFI data and service use to ensure its validity and reliability </w:t>
      </w:r>
      <w:r w:rsidR="00D71A91">
        <w:t xml:space="preserve">in modeling activities. </w:t>
      </w:r>
      <w:r w:rsidR="00875084">
        <w:t xml:space="preserve"> </w:t>
      </w:r>
    </w:p>
    <w:p w:rsidR="00B04094" w:rsidRDefault="00C65DB4" w:rsidP="00B04094">
      <w:r>
        <w:t>Finally</w:t>
      </w:r>
      <w:r w:rsidR="00777F90">
        <w:t>, w</w:t>
      </w:r>
      <w:r w:rsidR="00B04094">
        <w:t>ith the collection of the 2011 Census data on 9 August 2011</w:t>
      </w:r>
      <w:r w:rsidR="00DB4F77">
        <w:t>, the</w:t>
      </w:r>
      <w:r w:rsidR="00B04094">
        <w:t xml:space="preserve"> new Australian Statistical Geography Standard (ASGS) replaced the existing Australian Standard Geographic Classification (ASGC) system. In the new ASGS, the base geographical unit is the Statistical Area Level 1 (SA1) rather than the collection district. The new system is founded on </w:t>
      </w:r>
      <w:r>
        <w:t xml:space="preserve">the </w:t>
      </w:r>
      <w:r w:rsidR="00B04094">
        <w:t>principle of collecting data in a way that will be functional and meaningful rather than facilitating administrative considerations. It is thought that with the new methodology, SA1s will be better able to capture socio-economic gradients by reducing the amount of diversity within a geographic unit of analysis</w:t>
      </w:r>
      <w:r w:rsidR="008B4289">
        <w:rPr>
          <w:vertAlign w:val="superscript"/>
        </w:rPr>
        <w:t>26</w:t>
      </w:r>
      <w:r w:rsidR="00B04094">
        <w:t xml:space="preserve">. This could alter the SEIFI findings and the 2011 and 2006 version could not be compared directly, increasing the need for the SEIFI analysis to be repeated for the next few Census </w:t>
      </w:r>
      <w:r w:rsidR="008B4289">
        <w:t>takings</w:t>
      </w:r>
      <w:r w:rsidR="00B04094">
        <w:t xml:space="preserve">. </w:t>
      </w:r>
    </w:p>
    <w:p w:rsidR="002B20AE" w:rsidRDefault="00AB2C5A" w:rsidP="008230AD">
      <w:pPr>
        <w:pStyle w:val="Heading2"/>
      </w:pPr>
      <w:bookmarkStart w:id="60" w:name="_Toc358033217"/>
      <w:r>
        <w:lastRenderedPageBreak/>
        <w:t>Next Steps</w:t>
      </w:r>
      <w:bookmarkEnd w:id="60"/>
    </w:p>
    <w:p w:rsidR="00953934" w:rsidRDefault="00DB3FAD" w:rsidP="00953934">
      <w:r>
        <w:t>The ongoing</w:t>
      </w:r>
      <w:r w:rsidR="00760BFF">
        <w:t xml:space="preserve"> </w:t>
      </w:r>
      <w:r w:rsidR="00211D68">
        <w:t xml:space="preserve">development </w:t>
      </w:r>
      <w:r w:rsidR="00760BFF">
        <w:t>of SEIFI has to potential to be extremely valuable to the ACT government.</w:t>
      </w:r>
      <w:r w:rsidR="00654B38">
        <w:t xml:space="preserve"> The SEIFI data will provide</w:t>
      </w:r>
      <w:r w:rsidR="00760BFF">
        <w:t xml:space="preserve"> ACT Government Directorates and community organisation</w:t>
      </w:r>
      <w:r w:rsidR="00654B38">
        <w:t>s</w:t>
      </w:r>
      <w:r w:rsidR="00760BFF">
        <w:t xml:space="preserve"> </w:t>
      </w:r>
      <w:r w:rsidR="00654B38">
        <w:t>with the evidence base they need to more effectively and efficiently provide</w:t>
      </w:r>
      <w:r w:rsidR="00FF500B">
        <w:t xml:space="preserve"> adequate,</w:t>
      </w:r>
      <w:r w:rsidR="00654B38">
        <w:t xml:space="preserve"> integrated service</w:t>
      </w:r>
      <w:r w:rsidR="00FF500B">
        <w:t xml:space="preserve">s that best address the needs of the </w:t>
      </w:r>
      <w:r w:rsidR="00654B38">
        <w:t xml:space="preserve">vulnerable and disadvantaged individuals and families </w:t>
      </w:r>
      <w:r w:rsidR="00FF500B">
        <w:t xml:space="preserve">in the ACT. </w:t>
      </w:r>
      <w:r w:rsidR="00152FD3">
        <w:t>SEIFI may have a</w:t>
      </w:r>
      <w:r w:rsidR="000555E8">
        <w:t>n important</w:t>
      </w:r>
      <w:r w:rsidR="00152FD3">
        <w:t xml:space="preserve"> role</w:t>
      </w:r>
      <w:r w:rsidR="000555E8">
        <w:t xml:space="preserve"> in the monitoring and evaluation of the long-term impacts of government and community programs and aid b</w:t>
      </w:r>
      <w:r w:rsidR="00152FD3">
        <w:t xml:space="preserve">uilding stronger </w:t>
      </w:r>
      <w:r w:rsidR="000555E8">
        <w:t xml:space="preserve">service networks </w:t>
      </w:r>
      <w:r w:rsidR="00152FD3">
        <w:t xml:space="preserve">with community organisations through initiatives such as the Outcomes Based </w:t>
      </w:r>
      <w:r w:rsidR="000555E8">
        <w:t>Service Funding Frame</w:t>
      </w:r>
      <w:r w:rsidR="000E1506">
        <w:t xml:space="preserve">work and Purchasing Agreement. </w:t>
      </w:r>
      <w:r w:rsidR="00953934">
        <w:t>ACT organisations will</w:t>
      </w:r>
      <w:r w:rsidR="00FF500B">
        <w:t xml:space="preserve"> also </w:t>
      </w:r>
      <w:r w:rsidR="00953934">
        <w:t xml:space="preserve">be in a stronger position to </w:t>
      </w:r>
      <w:r w:rsidR="000E1506">
        <w:t>negotiate commitments for financial</w:t>
      </w:r>
      <w:r w:rsidR="00953934">
        <w:t xml:space="preserve"> support </w:t>
      </w:r>
      <w:r w:rsidR="000E1506">
        <w:t xml:space="preserve">from the Commonwealth government </w:t>
      </w:r>
      <w:r w:rsidR="006B064A">
        <w:t xml:space="preserve">by </w:t>
      </w:r>
      <w:r w:rsidR="000E1506">
        <w:t>using</w:t>
      </w:r>
      <w:r w:rsidR="006B064A">
        <w:t xml:space="preserve"> SEIFI</w:t>
      </w:r>
      <w:r w:rsidR="00953934">
        <w:t xml:space="preserve"> evide</w:t>
      </w:r>
      <w:r w:rsidR="006B064A">
        <w:t>n</w:t>
      </w:r>
      <w:r w:rsidR="000555E8">
        <w:t xml:space="preserve">ce to support bids for funding, though </w:t>
      </w:r>
      <w:r w:rsidR="000E1506">
        <w:t>it</w:t>
      </w:r>
      <w:r w:rsidR="000555E8">
        <w:t xml:space="preserve"> will be challeng</w:t>
      </w:r>
      <w:r w:rsidR="000E1506">
        <w:t>ing</w:t>
      </w:r>
      <w:r w:rsidR="000555E8">
        <w:t xml:space="preserve"> to overcome the institutional inertia that protects </w:t>
      </w:r>
      <w:r w:rsidR="000E1506">
        <w:t>existing SEIFA-based processes</w:t>
      </w:r>
      <w:r w:rsidR="00CA08AF">
        <w:rPr>
          <w:vertAlign w:val="superscript"/>
        </w:rPr>
        <w:t>27</w:t>
      </w:r>
      <w:r w:rsidR="00953934" w:rsidRPr="00CD3FD7">
        <w:t>.</w:t>
      </w:r>
      <w:r w:rsidR="00953934">
        <w:t xml:space="preserve"> </w:t>
      </w:r>
    </w:p>
    <w:p w:rsidR="000B243F" w:rsidRPr="008230AD" w:rsidRDefault="000B243F" w:rsidP="000B243F">
      <w:pPr>
        <w:rPr>
          <w:rStyle w:val="Heading2Char"/>
        </w:rPr>
      </w:pPr>
      <w:r>
        <w:t xml:space="preserve">In addition to impacting Commonwealth funding relationships, the analysis of SEIFI data described in this report presents a number of opportunities for the ACT Government to strengthen its position as a leading organisation in government service delivery. Evidence of the methodological shortcomings of SEIFA is likely to support a stronger stance on data integrity, validity, and accountability in ACT government processes. The availability of SEIFI as a suitable geographic measure of individual-level disadvantage is also timely given the strong shift towards targeted and location-based policies, programs, and services at both national and state levels, within Australia and abroad. SEIFI data also has a number of potential applications as a social research and modeling tool, where it would be valuable in mapping and geospatial analyses as well as in data linkage activities with other population-based data sets. </w:t>
      </w:r>
    </w:p>
    <w:p w:rsidR="003B0CA8" w:rsidRDefault="00DC4B0D" w:rsidP="003B0CA8">
      <w:r>
        <w:t xml:space="preserve">One of the most significant limitations of the SEIFI index is therefore the risk that it may not be reproduced using data from the most recent 2011 census. In order to </w:t>
      </w:r>
      <w:r w:rsidR="003B0CA8">
        <w:t xml:space="preserve">maximise </w:t>
      </w:r>
      <w:r>
        <w:t>the</w:t>
      </w:r>
      <w:r w:rsidR="003B0CA8">
        <w:t xml:space="preserve"> potential</w:t>
      </w:r>
      <w:r>
        <w:t xml:space="preserve"> utility of SEIFI</w:t>
      </w:r>
      <w:r w:rsidR="003B0CA8">
        <w:t>, the</w:t>
      </w:r>
      <w:r w:rsidR="003B0CA8" w:rsidRPr="00D1601B">
        <w:t xml:space="preserve"> </w:t>
      </w:r>
      <w:r w:rsidR="003B0CA8">
        <w:t xml:space="preserve">ACT Government should work closely with the Australian Bureau of Statistics to support the construction of SEIFI using data from the 2011 Census and to consult on its design to ensure it is fit-for-purpose. The ACT Government should also encourage further research with the SEIFI indexes and champion their use as a more appropriate alternative wherever SEIFA is applied as a proxy to inform policy making and funding decisions in the ACT. </w:t>
      </w:r>
    </w:p>
    <w:p w:rsidR="002B20AE" w:rsidRDefault="002B20AE" w:rsidP="001A2EA2">
      <w:pPr>
        <w:pStyle w:val="Heading3"/>
        <w:ind w:left="770"/>
      </w:pPr>
    </w:p>
    <w:p w:rsidR="00700A68" w:rsidRDefault="00700A68">
      <w:r>
        <w:br w:type="page"/>
      </w:r>
    </w:p>
    <w:p w:rsidR="003A3ABD" w:rsidRDefault="00700A68" w:rsidP="003A3ABD">
      <w:pPr>
        <w:pStyle w:val="Heading1"/>
        <w:spacing w:after="0"/>
      </w:pPr>
      <w:bookmarkStart w:id="61" w:name="_Toc358033218"/>
      <w:r>
        <w:lastRenderedPageBreak/>
        <w:t>Reference</w:t>
      </w:r>
      <w:r w:rsidR="00097067">
        <w:t>S</w:t>
      </w:r>
      <w:bookmarkEnd w:id="61"/>
    </w:p>
    <w:p w:rsidR="003065DF" w:rsidRDefault="003065DF" w:rsidP="003065DF"/>
    <w:p w:rsidR="00196476" w:rsidRPr="003065DF" w:rsidRDefault="00196476" w:rsidP="003065DF">
      <w:pPr>
        <w:sectPr w:rsidR="00196476" w:rsidRPr="003065DF" w:rsidSect="008230AD">
          <w:headerReference w:type="even" r:id="rId11"/>
          <w:headerReference w:type="default" r:id="rId12"/>
          <w:footerReference w:type="even" r:id="rId13"/>
          <w:footerReference w:type="default" r:id="rId14"/>
          <w:endnotePr>
            <w:numFmt w:val="decimal"/>
          </w:endnotePr>
          <w:type w:val="continuous"/>
          <w:pgSz w:w="12240" w:h="15840"/>
          <w:pgMar w:top="993" w:right="1440" w:bottom="1560" w:left="1440" w:header="708" w:footer="709" w:gutter="0"/>
          <w:cols w:space="709"/>
          <w:titlePg/>
          <w:docGrid w:linePitch="360"/>
        </w:sectPr>
      </w:pPr>
    </w:p>
    <w:p w:rsidR="00AB31B9" w:rsidRDefault="00196476" w:rsidP="008230AD">
      <w:pPr>
        <w:pStyle w:val="EndnoteText"/>
        <w:numPr>
          <w:ilvl w:val="0"/>
          <w:numId w:val="35"/>
        </w:numPr>
        <w:spacing w:afterLines="80"/>
        <w:ind w:left="284" w:hanging="284"/>
        <w:rPr>
          <w:sz w:val="18"/>
          <w:szCs w:val="18"/>
        </w:rPr>
      </w:pPr>
      <w:r w:rsidRPr="00435FD0">
        <w:rPr>
          <w:sz w:val="18"/>
          <w:szCs w:val="18"/>
        </w:rPr>
        <w:lastRenderedPageBreak/>
        <w:t xml:space="preserve">Wise and Mathews (2011). Socio-Economic Indexes for Areas: Getting a Handle on Individual Diversity </w:t>
      </w:r>
      <w:proofErr w:type="gramStart"/>
      <w:r w:rsidRPr="00435FD0">
        <w:rPr>
          <w:sz w:val="18"/>
          <w:szCs w:val="18"/>
        </w:rPr>
        <w:t>Within</w:t>
      </w:r>
      <w:proofErr w:type="gramEnd"/>
      <w:r w:rsidRPr="00435FD0">
        <w:rPr>
          <w:sz w:val="18"/>
          <w:szCs w:val="18"/>
        </w:rPr>
        <w:t xml:space="preserve"> Areas. Available online at:  </w:t>
      </w:r>
      <w:hyperlink r:id="rId15" w:history="1">
        <w:r w:rsidRPr="00435FD0">
          <w:rPr>
            <w:rStyle w:val="Hyperlink"/>
            <w:sz w:val="18"/>
            <w:szCs w:val="18"/>
          </w:rPr>
          <w:t>http://www.ausstats.abs.gov.au/ausstats/subscriber.nsf/0/C523F80A0B938ACBCA25790600138037/$File/1351055036_sep%202011.pdf</w:t>
        </w:r>
      </w:hyperlink>
      <w:r w:rsidRPr="00435FD0">
        <w:rPr>
          <w:sz w:val="18"/>
          <w:szCs w:val="18"/>
        </w:rPr>
        <w:t xml:space="preserve"> </w:t>
      </w:r>
    </w:p>
    <w:p w:rsidR="00AB31B9" w:rsidRDefault="00196476" w:rsidP="008230AD">
      <w:pPr>
        <w:pStyle w:val="EndnoteText"/>
        <w:spacing w:afterLines="80"/>
        <w:ind w:left="284"/>
        <w:rPr>
          <w:sz w:val="18"/>
          <w:szCs w:val="18"/>
        </w:rPr>
      </w:pPr>
      <w:proofErr w:type="gramStart"/>
      <w:r w:rsidRPr="00435FD0">
        <w:rPr>
          <w:sz w:val="18"/>
          <w:szCs w:val="18"/>
        </w:rPr>
        <w:t>Pink (2008).</w:t>
      </w:r>
      <w:proofErr w:type="gramEnd"/>
      <w:r w:rsidRPr="00435FD0">
        <w:rPr>
          <w:sz w:val="18"/>
          <w:szCs w:val="18"/>
        </w:rPr>
        <w:t xml:space="preserve"> Information Paper: An Introduction to Socio-Economic Indexes for Areas (SEIFA) 2006. Available online at: </w:t>
      </w:r>
      <w:hyperlink r:id="rId16" w:history="1">
        <w:r w:rsidRPr="00435FD0">
          <w:rPr>
            <w:rStyle w:val="Hyperlink"/>
            <w:sz w:val="18"/>
            <w:szCs w:val="18"/>
          </w:rPr>
          <w:t>http://www.ausstats.abs.gov.au/ausstats/subscriber.nsf/0/D729075E079F9FDECA2574170011B088/$File/20390_2006.pdf</w:t>
        </w:r>
      </w:hyperlink>
    </w:p>
    <w:p w:rsidR="00AB31B9" w:rsidRDefault="00196476" w:rsidP="008230AD">
      <w:pPr>
        <w:pStyle w:val="EndnoteText"/>
        <w:numPr>
          <w:ilvl w:val="0"/>
          <w:numId w:val="35"/>
        </w:numPr>
        <w:spacing w:afterLines="80"/>
        <w:ind w:left="284" w:hanging="284"/>
        <w:rPr>
          <w:sz w:val="18"/>
          <w:szCs w:val="18"/>
        </w:rPr>
      </w:pPr>
      <w:r w:rsidRPr="00435FD0">
        <w:rPr>
          <w:sz w:val="18"/>
          <w:szCs w:val="18"/>
        </w:rPr>
        <w:t xml:space="preserve">Baker and </w:t>
      </w:r>
      <w:proofErr w:type="spellStart"/>
      <w:r w:rsidRPr="00435FD0">
        <w:rPr>
          <w:sz w:val="18"/>
          <w:szCs w:val="18"/>
        </w:rPr>
        <w:t>Adhikari</w:t>
      </w:r>
      <w:proofErr w:type="spellEnd"/>
      <w:r w:rsidRPr="00435FD0">
        <w:rPr>
          <w:sz w:val="18"/>
          <w:szCs w:val="18"/>
        </w:rPr>
        <w:t xml:space="preserve"> (2007). Socio-Economic Indexes for Individuals and Families. Available online at: </w:t>
      </w:r>
      <w:hyperlink r:id="rId17" w:history="1">
        <w:r w:rsidRPr="00435FD0">
          <w:rPr>
            <w:rStyle w:val="Hyperlink"/>
            <w:sz w:val="18"/>
            <w:szCs w:val="18"/>
          </w:rPr>
          <w:t>http://www.ausstats.abs.gov.au/Ausstats/subscriber.nsf/0/87EA1D92F0BB437CCA25733F001F541D/$File/1352055086_jun%202007.pdf</w:t>
        </w:r>
      </w:hyperlink>
      <w:r w:rsidRPr="00435FD0">
        <w:rPr>
          <w:sz w:val="18"/>
          <w:szCs w:val="18"/>
        </w:rPr>
        <w:t xml:space="preserve">   </w:t>
      </w:r>
    </w:p>
    <w:p w:rsidR="00AB31B9" w:rsidRDefault="00196476" w:rsidP="008230AD">
      <w:pPr>
        <w:pStyle w:val="EndnoteText"/>
        <w:spacing w:afterLines="80"/>
        <w:ind w:left="284"/>
        <w:rPr>
          <w:sz w:val="18"/>
          <w:szCs w:val="18"/>
        </w:rPr>
      </w:pPr>
      <w:proofErr w:type="gramStart"/>
      <w:r w:rsidRPr="00435FD0">
        <w:rPr>
          <w:sz w:val="18"/>
          <w:szCs w:val="18"/>
        </w:rPr>
        <w:t>Australia Bureau of Statistics (ABS) (2011</w:t>
      </w:r>
      <w:r w:rsidR="00707BAD">
        <w:rPr>
          <w:sz w:val="18"/>
          <w:szCs w:val="18"/>
        </w:rPr>
        <w:t>a</w:t>
      </w:r>
      <w:r w:rsidRPr="00435FD0">
        <w:rPr>
          <w:sz w:val="18"/>
          <w:szCs w:val="18"/>
        </w:rPr>
        <w:t>).</w:t>
      </w:r>
      <w:proofErr w:type="gramEnd"/>
      <w:r w:rsidRPr="00435FD0">
        <w:rPr>
          <w:sz w:val="18"/>
          <w:szCs w:val="18"/>
        </w:rPr>
        <w:t xml:space="preserve"> Information Paper: Measures of Socioeconomic Status. Available online at: </w:t>
      </w:r>
      <w:hyperlink r:id="rId18" w:history="1">
        <w:r w:rsidRPr="00435FD0">
          <w:rPr>
            <w:rStyle w:val="Hyperlink"/>
            <w:sz w:val="18"/>
            <w:szCs w:val="18"/>
            <w:lang w:val="en-AU"/>
          </w:rPr>
          <w:t>http://www.ausstats.abs.gov.au/ausstats/subscriber.nsf/0/367D3800605DB064CA2578B60013445C/$File/1244055001_2011.pdf</w:t>
        </w:r>
      </w:hyperlink>
      <w:r w:rsidRPr="00435FD0">
        <w:rPr>
          <w:sz w:val="18"/>
          <w:szCs w:val="18"/>
          <w:lang w:val="en-AU"/>
        </w:rPr>
        <w:t xml:space="preserve"> </w:t>
      </w:r>
    </w:p>
    <w:p w:rsidR="00AB31B9" w:rsidRDefault="00196476" w:rsidP="008230AD">
      <w:pPr>
        <w:pStyle w:val="EndnoteText"/>
        <w:numPr>
          <w:ilvl w:val="0"/>
          <w:numId w:val="35"/>
        </w:numPr>
        <w:spacing w:afterLines="80"/>
        <w:ind w:left="284" w:hanging="284"/>
        <w:rPr>
          <w:sz w:val="18"/>
          <w:szCs w:val="18"/>
          <w:lang w:val="en-AU"/>
        </w:rPr>
      </w:pPr>
      <w:r w:rsidRPr="00435FD0">
        <w:rPr>
          <w:sz w:val="18"/>
          <w:szCs w:val="18"/>
        </w:rPr>
        <w:t>Wise and Mathews (2011). See above.</w:t>
      </w:r>
    </w:p>
    <w:p w:rsidR="00AB31B9" w:rsidRDefault="00196476" w:rsidP="008230AD">
      <w:pPr>
        <w:pStyle w:val="EndnoteText"/>
        <w:numPr>
          <w:ilvl w:val="0"/>
          <w:numId w:val="35"/>
        </w:numPr>
        <w:spacing w:afterLines="80"/>
        <w:ind w:left="284" w:hanging="284"/>
        <w:rPr>
          <w:sz w:val="18"/>
          <w:szCs w:val="18"/>
          <w:lang w:val="en-AU"/>
        </w:rPr>
      </w:pPr>
      <w:r w:rsidRPr="00435FD0">
        <w:rPr>
          <w:sz w:val="18"/>
          <w:szCs w:val="18"/>
        </w:rPr>
        <w:t xml:space="preserve">Kennedy and </w:t>
      </w:r>
      <w:proofErr w:type="spellStart"/>
      <w:r w:rsidRPr="00435FD0">
        <w:rPr>
          <w:sz w:val="18"/>
          <w:szCs w:val="18"/>
        </w:rPr>
        <w:t>Firman</w:t>
      </w:r>
      <w:proofErr w:type="spellEnd"/>
      <w:r w:rsidRPr="00435FD0">
        <w:rPr>
          <w:sz w:val="18"/>
          <w:szCs w:val="18"/>
        </w:rPr>
        <w:t xml:space="preserve"> (2004). Indigenous SEIFA – revealing the ecological fallacy. Available online at: </w:t>
      </w:r>
      <w:hyperlink r:id="rId19" w:history="1">
        <w:r w:rsidRPr="00435FD0">
          <w:rPr>
            <w:rStyle w:val="Hyperlink"/>
            <w:sz w:val="18"/>
            <w:szCs w:val="18"/>
            <w:lang w:val="en-AU"/>
          </w:rPr>
          <w:t>http://www.apa.org.au/upload/2004-4E_Kennedy.pdf</w:t>
        </w:r>
      </w:hyperlink>
      <w:r w:rsidRPr="00435FD0">
        <w:rPr>
          <w:sz w:val="18"/>
          <w:szCs w:val="18"/>
          <w:lang w:val="en-AU"/>
        </w:rPr>
        <w:t xml:space="preserve"> </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rPr>
        <w:t xml:space="preserve">Baker and </w:t>
      </w:r>
      <w:proofErr w:type="spellStart"/>
      <w:r w:rsidRPr="00435FD0">
        <w:rPr>
          <w:sz w:val="18"/>
          <w:szCs w:val="18"/>
        </w:rPr>
        <w:t>Adhikari</w:t>
      </w:r>
      <w:proofErr w:type="spellEnd"/>
      <w:r w:rsidRPr="00435FD0">
        <w:rPr>
          <w:sz w:val="18"/>
          <w:szCs w:val="18"/>
        </w:rPr>
        <w:t xml:space="preserve"> (2007). See above.</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rPr>
        <w:t>Wise and Mathews (2011). See above.</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rPr>
        <w:t>Wise and Mathews (2011). See above.</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rPr>
        <w:t xml:space="preserve">ABS (2010). Statistical Geography Explained. Accessed at: </w:t>
      </w:r>
      <w:hyperlink r:id="rId20" w:history="1">
        <w:r w:rsidRPr="00435FD0">
          <w:rPr>
            <w:rStyle w:val="Hyperlink"/>
            <w:sz w:val="18"/>
            <w:szCs w:val="18"/>
          </w:rPr>
          <w:t>http://www.abs.gov.au/websitedbs/D3310114.nsf/home/Statistical+Geography+Explained</w:t>
        </w:r>
      </w:hyperlink>
      <w:r w:rsidRPr="00435FD0">
        <w:rPr>
          <w:sz w:val="18"/>
          <w:szCs w:val="18"/>
        </w:rPr>
        <w:t xml:space="preserve"> </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lang w:val="en-AU"/>
        </w:rPr>
        <w:t>ABS (2008). 2006 Census Community Profile Series. Available online at:</w:t>
      </w:r>
      <w:r w:rsidRPr="00435FD0">
        <w:rPr>
          <w:sz w:val="18"/>
          <w:szCs w:val="18"/>
        </w:rPr>
        <w:t xml:space="preserve"> </w:t>
      </w:r>
      <w:hyperlink r:id="rId21" w:history="1">
        <w:r w:rsidRPr="00435FD0">
          <w:rPr>
            <w:rStyle w:val="Hyperlink"/>
            <w:sz w:val="18"/>
            <w:szCs w:val="18"/>
          </w:rPr>
          <w:t>http://www.abs.gov.au/websitedbs/censushome.nsf/home/communityprofiles?opendocument&amp;navpos=230</w:t>
        </w:r>
      </w:hyperlink>
      <w:r w:rsidRPr="00435FD0">
        <w:rPr>
          <w:sz w:val="18"/>
          <w:szCs w:val="18"/>
        </w:rPr>
        <w:t xml:space="preserve"> </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lang w:val="en-AU"/>
        </w:rPr>
        <w:t>ABS (2008). See above.</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rPr>
        <w:lastRenderedPageBreak/>
        <w:t xml:space="preserve">ACT Community Services Directorate (CSD) (2012). Public Housing Asset Management Strategy 2012-2017. Available online at: </w:t>
      </w:r>
      <w:hyperlink r:id="rId22" w:history="1">
        <w:r w:rsidRPr="00435FD0">
          <w:rPr>
            <w:rStyle w:val="Hyperlink"/>
            <w:sz w:val="18"/>
            <w:szCs w:val="18"/>
          </w:rPr>
          <w:t>http://www.dhcs.act.gov.au/__data/assets/pdf_file/0005/273551/Public_Housing_Asset_Management_Strategy.pdf</w:t>
        </w:r>
      </w:hyperlink>
      <w:r w:rsidRPr="00435FD0">
        <w:rPr>
          <w:sz w:val="18"/>
          <w:szCs w:val="18"/>
        </w:rPr>
        <w:t xml:space="preserve"> </w:t>
      </w:r>
    </w:p>
    <w:p w:rsidR="00AB31B9" w:rsidRDefault="00196476"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196476" w:rsidP="008230AD">
      <w:pPr>
        <w:pStyle w:val="EndnoteText"/>
        <w:numPr>
          <w:ilvl w:val="0"/>
          <w:numId w:val="36"/>
        </w:numPr>
        <w:spacing w:afterLines="80"/>
        <w:ind w:left="284" w:hanging="284"/>
        <w:rPr>
          <w:sz w:val="18"/>
          <w:szCs w:val="18"/>
        </w:rPr>
      </w:pPr>
      <w:r w:rsidRPr="00435FD0">
        <w:rPr>
          <w:sz w:val="18"/>
          <w:szCs w:val="18"/>
        </w:rPr>
        <w:t xml:space="preserve">ACT Government (2012). ACT Targeted Assistance Strategy. Available online at: </w:t>
      </w:r>
      <w:hyperlink r:id="rId23" w:history="1">
        <w:r w:rsidRPr="00435FD0">
          <w:rPr>
            <w:rStyle w:val="Hyperlink"/>
            <w:sz w:val="18"/>
            <w:szCs w:val="18"/>
          </w:rPr>
          <w:t>http://www.cmd.act.gov.au/__data/assets/pdf_file/0005/298337/ACT_Targeted_Assistance_Strategy.pdf</w:t>
        </w:r>
      </w:hyperlink>
      <w:r w:rsidRPr="00435FD0">
        <w:rPr>
          <w:sz w:val="18"/>
          <w:szCs w:val="18"/>
        </w:rPr>
        <w:t xml:space="preserve"> </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871A25" w:rsidP="008230AD">
      <w:pPr>
        <w:pStyle w:val="EndnoteText"/>
        <w:numPr>
          <w:ilvl w:val="0"/>
          <w:numId w:val="36"/>
        </w:numPr>
        <w:spacing w:afterLines="80"/>
        <w:ind w:left="284" w:hanging="284"/>
        <w:rPr>
          <w:sz w:val="18"/>
          <w:szCs w:val="18"/>
        </w:rPr>
      </w:pPr>
      <w:r w:rsidRPr="00435FD0">
        <w:rPr>
          <w:sz w:val="18"/>
          <w:szCs w:val="18"/>
          <w:lang w:val="en-AU"/>
        </w:rPr>
        <w:t>ABS (2008). See above.</w:t>
      </w:r>
    </w:p>
    <w:p w:rsidR="00AB31B9" w:rsidRDefault="00196476" w:rsidP="008230AD">
      <w:pPr>
        <w:pStyle w:val="EndnoteText"/>
        <w:numPr>
          <w:ilvl w:val="0"/>
          <w:numId w:val="36"/>
        </w:numPr>
        <w:spacing w:afterLines="80"/>
        <w:ind w:left="284" w:hanging="284"/>
        <w:rPr>
          <w:sz w:val="18"/>
          <w:szCs w:val="18"/>
        </w:rPr>
      </w:pPr>
      <w:r w:rsidRPr="00435FD0">
        <w:rPr>
          <w:sz w:val="18"/>
          <w:szCs w:val="18"/>
        </w:rPr>
        <w:t xml:space="preserve">Baker and </w:t>
      </w:r>
      <w:proofErr w:type="spellStart"/>
      <w:r w:rsidRPr="00435FD0">
        <w:rPr>
          <w:sz w:val="18"/>
          <w:szCs w:val="18"/>
        </w:rPr>
        <w:t>Adhikari</w:t>
      </w:r>
      <w:proofErr w:type="spellEnd"/>
      <w:r w:rsidRPr="00435FD0">
        <w:rPr>
          <w:sz w:val="18"/>
          <w:szCs w:val="18"/>
        </w:rPr>
        <w:t xml:space="preserve"> (2007). See above. </w:t>
      </w:r>
    </w:p>
    <w:p w:rsidR="00AB31B9" w:rsidRDefault="00196476" w:rsidP="008230AD">
      <w:pPr>
        <w:pStyle w:val="EndnoteText"/>
        <w:spacing w:afterLines="80"/>
        <w:ind w:left="284"/>
        <w:rPr>
          <w:sz w:val="18"/>
          <w:szCs w:val="18"/>
          <w:lang w:val="en-AU"/>
        </w:rPr>
      </w:pPr>
      <w:proofErr w:type="gramStart"/>
      <w:r w:rsidRPr="00435FD0">
        <w:rPr>
          <w:sz w:val="18"/>
          <w:szCs w:val="18"/>
        </w:rPr>
        <w:t>ABS (2011a).</w:t>
      </w:r>
      <w:proofErr w:type="gramEnd"/>
      <w:r w:rsidRPr="00435FD0">
        <w:rPr>
          <w:sz w:val="18"/>
          <w:szCs w:val="18"/>
        </w:rPr>
        <w:t xml:space="preserve"> See above. </w:t>
      </w:r>
    </w:p>
    <w:p w:rsidR="00AB31B9" w:rsidRDefault="00196476" w:rsidP="008230AD">
      <w:pPr>
        <w:pStyle w:val="EndnoteText"/>
        <w:numPr>
          <w:ilvl w:val="0"/>
          <w:numId w:val="36"/>
        </w:numPr>
        <w:spacing w:afterLines="80"/>
        <w:ind w:left="284" w:hanging="284"/>
        <w:rPr>
          <w:sz w:val="18"/>
          <w:szCs w:val="18"/>
          <w:lang w:val="en-AU"/>
        </w:rPr>
      </w:pPr>
      <w:r w:rsidRPr="00435FD0">
        <w:rPr>
          <w:sz w:val="18"/>
          <w:szCs w:val="18"/>
        </w:rPr>
        <w:t xml:space="preserve">Wise and Mathews (2011). See above. </w:t>
      </w:r>
    </w:p>
    <w:p w:rsidR="00AB31B9" w:rsidRDefault="00196476" w:rsidP="008230AD">
      <w:pPr>
        <w:pStyle w:val="EndnoteText"/>
        <w:numPr>
          <w:ilvl w:val="0"/>
          <w:numId w:val="36"/>
        </w:numPr>
        <w:spacing w:afterLines="80"/>
        <w:ind w:left="284" w:hanging="284"/>
        <w:rPr>
          <w:sz w:val="18"/>
          <w:szCs w:val="18"/>
        </w:rPr>
      </w:pPr>
      <w:r w:rsidRPr="00435FD0">
        <w:rPr>
          <w:sz w:val="18"/>
          <w:szCs w:val="18"/>
        </w:rPr>
        <w:t xml:space="preserve">ABS (2010b). Presentation: Implementing the Australian Statistical Geography Standard (ASGS). </w:t>
      </w:r>
      <w:hyperlink r:id="rId24" w:history="1">
        <w:r w:rsidRPr="00435FD0">
          <w:rPr>
            <w:rStyle w:val="Hyperlink"/>
            <w:sz w:val="18"/>
            <w:szCs w:val="18"/>
          </w:rPr>
          <w:t>http://www.abs.gov.au/websitedbs/D3310114.nsf/4a256353001af3ed4b2562bb00121564/c453c497aadde71cca2576d300026a38/$FILE/ASGS%20Roadshow%20Presentation.pdf</w:t>
        </w:r>
      </w:hyperlink>
      <w:r w:rsidRPr="00435FD0">
        <w:rPr>
          <w:sz w:val="18"/>
          <w:szCs w:val="18"/>
        </w:rPr>
        <w:t xml:space="preserve"> </w:t>
      </w:r>
    </w:p>
    <w:p w:rsidR="00AB31B9" w:rsidRDefault="00891485" w:rsidP="008230AD">
      <w:pPr>
        <w:pStyle w:val="EndnoteText"/>
        <w:numPr>
          <w:ilvl w:val="0"/>
          <w:numId w:val="36"/>
        </w:numPr>
        <w:spacing w:afterLines="80"/>
        <w:ind w:left="284" w:hanging="284"/>
        <w:rPr>
          <w:sz w:val="18"/>
          <w:szCs w:val="18"/>
        </w:rPr>
      </w:pPr>
      <w:r w:rsidRPr="00891485">
        <w:rPr>
          <w:sz w:val="18"/>
          <w:szCs w:val="18"/>
        </w:rPr>
        <w:t>GST Distribution Review (2011</w:t>
      </w:r>
      <w:r w:rsidR="00CA08AF" w:rsidRPr="00891485">
        <w:rPr>
          <w:sz w:val="18"/>
          <w:szCs w:val="18"/>
        </w:rPr>
        <w:t xml:space="preserve">). Terms of Reference. </w:t>
      </w:r>
      <w:r w:rsidRPr="00891485">
        <w:rPr>
          <w:sz w:val="18"/>
          <w:szCs w:val="18"/>
        </w:rPr>
        <w:t xml:space="preserve">Accessed online at: </w:t>
      </w:r>
      <w:hyperlink r:id="rId25" w:history="1">
        <w:r w:rsidRPr="00891485">
          <w:rPr>
            <w:rStyle w:val="Hyperlink"/>
          </w:rPr>
          <w:t>http://www.gstdistributionreview.gov.au/content/Content.aspx?doc=tor.htm</w:t>
        </w:r>
      </w:hyperlink>
      <w:r w:rsidRPr="00891485">
        <w:t xml:space="preserve"> </w:t>
      </w:r>
    </w:p>
    <w:p w:rsidR="00196476" w:rsidRDefault="00196476">
      <w:pPr>
        <w:rPr>
          <w:rFonts w:eastAsiaTheme="majorEastAsia" w:cstheme="majorBidi"/>
          <w:b/>
          <w:bCs/>
          <w:caps/>
          <w:color w:val="244061" w:themeColor="accent1" w:themeShade="80"/>
          <w:sz w:val="28"/>
          <w:szCs w:val="28"/>
        </w:rPr>
        <w:sectPr w:rsidR="00196476" w:rsidSect="00196476">
          <w:headerReference w:type="first" r:id="rId26"/>
          <w:endnotePr>
            <w:numFmt w:val="decimal"/>
          </w:endnotePr>
          <w:type w:val="continuous"/>
          <w:pgSz w:w="12240" w:h="15840"/>
          <w:pgMar w:top="1440" w:right="1440" w:bottom="1560" w:left="1440" w:header="708" w:footer="708" w:gutter="0"/>
          <w:cols w:num="2" w:space="709"/>
          <w:titlePg/>
          <w:docGrid w:linePitch="360"/>
        </w:sectPr>
      </w:pPr>
    </w:p>
    <w:p w:rsidR="00B959D2" w:rsidRDefault="00B959D2">
      <w:pPr>
        <w:rPr>
          <w:rFonts w:eastAsiaTheme="majorEastAsia" w:cstheme="majorBidi"/>
          <w:b/>
          <w:bCs/>
          <w:caps/>
          <w:color w:val="244061" w:themeColor="accent1" w:themeShade="80"/>
          <w:sz w:val="28"/>
          <w:szCs w:val="28"/>
        </w:rPr>
      </w:pPr>
    </w:p>
    <w:p w:rsidR="0096237D" w:rsidRDefault="00F50DF5" w:rsidP="003A3ABD">
      <w:pPr>
        <w:pStyle w:val="Heading1"/>
      </w:pPr>
      <w:bookmarkStart w:id="62" w:name="_Toc358033219"/>
      <w:r>
        <w:lastRenderedPageBreak/>
        <w:t xml:space="preserve">APPENDIX A – </w:t>
      </w:r>
      <w:r w:rsidR="00DD7FD5">
        <w:t>SEIFA and SEIFI Methodology</w:t>
      </w:r>
      <w:bookmarkEnd w:id="62"/>
    </w:p>
    <w:p w:rsidR="00DD7FD5" w:rsidRDefault="00DD7FD5" w:rsidP="00DD7FD5">
      <w:r>
        <w:t xml:space="preserve">This section will provide more </w:t>
      </w:r>
      <w:r w:rsidR="00A53F80">
        <w:t>information</w:t>
      </w:r>
      <w:r>
        <w:t xml:space="preserve"> about the construction of the SEIFA and SEIFI indexes</w:t>
      </w:r>
      <w:r w:rsidR="00A53F80">
        <w:t>. T</w:t>
      </w:r>
      <w:r>
        <w:t xml:space="preserve">his section has been adapted from </w:t>
      </w:r>
      <w:r>
        <w:rPr>
          <w:i/>
        </w:rPr>
        <w:t xml:space="preserve">Socio-Economic Indexes for Areas: Getting a Handle on Individual Diversity </w:t>
      </w:r>
      <w:proofErr w:type="gramStart"/>
      <w:r>
        <w:rPr>
          <w:i/>
        </w:rPr>
        <w:t>Within</w:t>
      </w:r>
      <w:proofErr w:type="gramEnd"/>
      <w:r>
        <w:rPr>
          <w:i/>
        </w:rPr>
        <w:t xml:space="preserve"> Areas</w:t>
      </w:r>
      <w:r w:rsidR="0050383B">
        <w:rPr>
          <w:rStyle w:val="EndnoteReference"/>
          <w:i/>
        </w:rPr>
        <w:endnoteReference w:id="2"/>
      </w:r>
      <w:r>
        <w:t xml:space="preserve"> and </w:t>
      </w:r>
      <w:r w:rsidRPr="00586968">
        <w:rPr>
          <w:i/>
        </w:rPr>
        <w:t>Socio-Economic Indexes for Areas (SEIFA) – Technical Paper 2006</w:t>
      </w:r>
      <w:r w:rsidR="00C57FD6">
        <w:rPr>
          <w:rStyle w:val="EndnoteReference"/>
          <w:i/>
        </w:rPr>
        <w:endnoteReference w:id="3"/>
      </w:r>
      <w:r>
        <w:t>. Please refer to these pu</w:t>
      </w:r>
      <w:r w:rsidR="00A53F80">
        <w:t>blications for more details</w:t>
      </w:r>
      <w:r w:rsidR="00296283">
        <w:t xml:space="preserve">. </w:t>
      </w:r>
    </w:p>
    <w:p w:rsidR="00DD7FD5" w:rsidRDefault="00DD7FD5" w:rsidP="00DD7FD5">
      <w:r>
        <w:t>SEIFA consists of a set of four indexes:</w:t>
      </w:r>
    </w:p>
    <w:p w:rsidR="00DD7FD5" w:rsidRDefault="00DD7FD5" w:rsidP="00DD7FD5">
      <w:pPr>
        <w:numPr>
          <w:ilvl w:val="0"/>
          <w:numId w:val="41"/>
        </w:numPr>
      </w:pPr>
      <w:r w:rsidRPr="00C657A3">
        <w:t xml:space="preserve">The </w:t>
      </w:r>
      <w:r w:rsidRPr="00C657A3">
        <w:rPr>
          <w:b/>
        </w:rPr>
        <w:t>Index of Relative Socio-economic Disadvantage (IRSD)</w:t>
      </w:r>
      <w:r>
        <w:t>: Using indicators of low socio-economic wellbeing</w:t>
      </w:r>
      <w:r w:rsidR="00506DD6">
        <w:t xml:space="preserve"> on a number of dimensions, including income, education, employment, occupation, housing, and others</w:t>
      </w:r>
      <w:r>
        <w:t xml:space="preserve">, </w:t>
      </w:r>
      <w:r w:rsidR="00506DD6">
        <w:t xml:space="preserve">the </w:t>
      </w:r>
      <w:r>
        <w:t xml:space="preserve">IRSD provides </w:t>
      </w:r>
      <w:r w:rsidR="00506DD6">
        <w:t>general measure of overall</w:t>
      </w:r>
      <w:r>
        <w:t xml:space="preserve"> disadvantage.</w:t>
      </w:r>
    </w:p>
    <w:p w:rsidR="00DD7FD5" w:rsidRDefault="00DD7FD5" w:rsidP="00DD7FD5">
      <w:pPr>
        <w:numPr>
          <w:ilvl w:val="0"/>
          <w:numId w:val="41"/>
        </w:numPr>
      </w:pPr>
      <w:r>
        <w:t xml:space="preserve">The </w:t>
      </w:r>
      <w:r w:rsidRPr="00C657A3">
        <w:rPr>
          <w:b/>
        </w:rPr>
        <w:t>Index of Relative Socio-economic Advantage and Disadvantage (IRSAD)</w:t>
      </w:r>
      <w:r>
        <w:t xml:space="preserve">: IRSAD extends IRSD to provide </w:t>
      </w:r>
      <w:r w:rsidR="00962446">
        <w:t>a</w:t>
      </w:r>
      <w:r>
        <w:t xml:space="preserve"> general</w:t>
      </w:r>
      <w:r w:rsidR="00962446">
        <w:t xml:space="preserve"> socio-economic</w:t>
      </w:r>
      <w:r>
        <w:t xml:space="preserve"> measure that encompasses the full spectrum of </w:t>
      </w:r>
      <w:r w:rsidR="00962446">
        <w:t xml:space="preserve">both </w:t>
      </w:r>
      <w:r>
        <w:t xml:space="preserve">disadvantage and advantage. </w:t>
      </w:r>
    </w:p>
    <w:p w:rsidR="00DD7FD5" w:rsidRDefault="00DD7FD5" w:rsidP="00DD7FD5">
      <w:pPr>
        <w:numPr>
          <w:ilvl w:val="0"/>
          <w:numId w:val="41"/>
        </w:numPr>
      </w:pPr>
      <w:r>
        <w:t xml:space="preserve">The </w:t>
      </w:r>
      <w:r>
        <w:rPr>
          <w:b/>
        </w:rPr>
        <w:t>Index of Education and Occupation</w:t>
      </w:r>
      <w:r>
        <w:t xml:space="preserve"> </w:t>
      </w:r>
      <w:r>
        <w:rPr>
          <w:b/>
        </w:rPr>
        <w:t>(IEO)</w:t>
      </w:r>
      <w:r>
        <w:t xml:space="preserve">: This index focuses specifically on the educational and occupational aspects or indicators of socio-economic status. </w:t>
      </w:r>
    </w:p>
    <w:p w:rsidR="00DD7FD5" w:rsidRDefault="00DD7FD5" w:rsidP="00DD7FD5">
      <w:pPr>
        <w:numPr>
          <w:ilvl w:val="0"/>
          <w:numId w:val="41"/>
        </w:numPr>
      </w:pPr>
      <w:r>
        <w:t xml:space="preserve">The </w:t>
      </w:r>
      <w:r w:rsidRPr="00F54F83">
        <w:rPr>
          <w:b/>
        </w:rPr>
        <w:t>Index of Economic Resources (IER)</w:t>
      </w:r>
      <w:r>
        <w:t xml:space="preserve">: This index focuses specifically on financial aspects of </w:t>
      </w:r>
      <w:r w:rsidR="00984DD6">
        <w:t xml:space="preserve">income, employment, and housing as they relate to </w:t>
      </w:r>
      <w:r>
        <w:t xml:space="preserve">relative advantage and disadvantage. </w:t>
      </w:r>
    </w:p>
    <w:p w:rsidR="00DD7FD5" w:rsidRDefault="00DD7FD5" w:rsidP="00DD7FD5">
      <w:r>
        <w:t xml:space="preserve">Comparatively, </w:t>
      </w:r>
      <w:r w:rsidR="00E42370">
        <w:t>SEIFI</w:t>
      </w:r>
      <w:r>
        <w:t xml:space="preserve"> </w:t>
      </w:r>
      <w:r w:rsidR="000B1858">
        <w:t>only include</w:t>
      </w:r>
      <w:r w:rsidR="00984DD6">
        <w:t>s</w:t>
      </w:r>
      <w:r w:rsidR="000B1858">
        <w:t xml:space="preserve"> the individual-level IRSD and IRSD indexes. The decision not to construct IEO and IER indexes at the individual level was based primarily on findings from literature r</w:t>
      </w:r>
      <w:r>
        <w:t xml:space="preserve">eviews and user consultations </w:t>
      </w:r>
      <w:r w:rsidR="00984DD6">
        <w:t>which</w:t>
      </w:r>
      <w:r>
        <w:t xml:space="preserve"> indicated that IRSD is the most commonly used of the four SEIFA indexes, while IRSAD</w:t>
      </w:r>
      <w:r w:rsidR="00984DD6">
        <w:t xml:space="preserve"> is complementary and</w:t>
      </w:r>
      <w:r>
        <w:t xml:space="preserve"> provides the greatest breadth.  </w:t>
      </w:r>
    </w:p>
    <w:p w:rsidR="00DD7FD5" w:rsidRDefault="00DD7FD5" w:rsidP="008230AD">
      <w:pPr>
        <w:pStyle w:val="Heading2"/>
      </w:pPr>
      <w:bookmarkStart w:id="63" w:name="_Toc358033220"/>
      <w:r w:rsidRPr="004A5525">
        <w:t>Principal Components Analysis and Index Construction</w:t>
      </w:r>
      <w:bookmarkEnd w:id="63"/>
    </w:p>
    <w:p w:rsidR="00DD7FD5" w:rsidRDefault="00DD7FD5" w:rsidP="00DD7FD5">
      <w:r>
        <w:t>The SEIFA and SEIFI indexes are calculated using a statistical technique known as Principal Components Analysis (PCA). This technique reduces a large number of variables into a smaller set of variables by summarising variables that are highly co</w:t>
      </w:r>
      <w:r w:rsidR="008B4289">
        <w:t>rrelated into a single principal</w:t>
      </w:r>
      <w:r>
        <w:t xml:space="preserve"> component. </w:t>
      </w:r>
    </w:p>
    <w:p w:rsidR="00DD7FD5" w:rsidRDefault="00DD7FD5" w:rsidP="00DD7FD5">
      <w:r>
        <w:t>The steps for constructing the indexes are as follows:</w:t>
      </w:r>
    </w:p>
    <w:p w:rsidR="00DD7FD5" w:rsidRDefault="00DD7FD5" w:rsidP="00DD7FD5">
      <w:pPr>
        <w:numPr>
          <w:ilvl w:val="0"/>
          <w:numId w:val="42"/>
        </w:numPr>
      </w:pPr>
      <w:r w:rsidRPr="00984DD6">
        <w:rPr>
          <w:b/>
          <w:i/>
        </w:rPr>
        <w:t>Create the initial variable list</w:t>
      </w:r>
      <w:r>
        <w:t xml:space="preserve">. A complete list of possible variables </w:t>
      </w:r>
      <w:r w:rsidR="00984DD6">
        <w:t>is compiled</w:t>
      </w:r>
      <w:r>
        <w:t xml:space="preserve"> from Census data </w:t>
      </w:r>
      <w:r w:rsidR="00984DD6">
        <w:t xml:space="preserve">items </w:t>
      </w:r>
      <w:r>
        <w:t xml:space="preserve">that relate to the relevant concepts of socio-economic disadvantage captured by the index in question. </w:t>
      </w:r>
    </w:p>
    <w:p w:rsidR="00DD7FD5" w:rsidRDefault="00DD7FD5" w:rsidP="00DD7FD5">
      <w:pPr>
        <w:numPr>
          <w:ilvl w:val="0"/>
          <w:numId w:val="42"/>
        </w:numPr>
      </w:pPr>
      <w:r w:rsidRPr="00EA1D15">
        <w:rPr>
          <w:b/>
          <w:i/>
        </w:rPr>
        <w:t>Constructing the variables</w:t>
      </w:r>
      <w:r>
        <w:t xml:space="preserve">. </w:t>
      </w:r>
      <w:r w:rsidR="00EA1D15">
        <w:t>Drawing from Census data, SEIFA variables are derived from summary statistics at the CD level and constructed as proportions of the CD-level population. The derived variables are then standardised to a mean of 0 and standard deviation of 1. SEIFI variables are based on personal records and are constructed as a set of binary indicators for each individual.</w:t>
      </w:r>
    </w:p>
    <w:p w:rsidR="00DD7FD5" w:rsidRDefault="00DD7FD5" w:rsidP="00DD7FD5">
      <w:pPr>
        <w:numPr>
          <w:ilvl w:val="0"/>
          <w:numId w:val="42"/>
        </w:numPr>
      </w:pPr>
      <w:r w:rsidRPr="00EA1D15">
        <w:rPr>
          <w:b/>
          <w:i/>
        </w:rPr>
        <w:lastRenderedPageBreak/>
        <w:t>Remove highly correlated variables</w:t>
      </w:r>
      <w:r>
        <w:rPr>
          <w:i/>
        </w:rPr>
        <w:t xml:space="preserve">. </w:t>
      </w:r>
      <w:r>
        <w:t xml:space="preserve">Highly correlated variables are removed to prevent over-representation of any specific socio-economic characteristic. Discretion is applied whenever two variables have a correlation greater than |0.8|; one variable may be removed if the two correlated variables capture similar </w:t>
      </w:r>
      <w:r w:rsidR="00EA1D15">
        <w:t>attributes</w:t>
      </w:r>
      <w:r>
        <w:t xml:space="preserve">. </w:t>
      </w:r>
    </w:p>
    <w:p w:rsidR="00DD7FD5" w:rsidRDefault="00DD7FD5" w:rsidP="00DD7FD5">
      <w:pPr>
        <w:numPr>
          <w:ilvl w:val="0"/>
          <w:numId w:val="42"/>
        </w:numPr>
      </w:pPr>
      <w:r w:rsidRPr="00EA1D15">
        <w:rPr>
          <w:b/>
          <w:i/>
        </w:rPr>
        <w:t>Conduct initial PCA to obtain loadings</w:t>
      </w:r>
      <w:r>
        <w:t xml:space="preserve">. PCA is performed to determine the loading or weight by which each variable should be multiplied to get the score of the first principal component. </w:t>
      </w:r>
    </w:p>
    <w:p w:rsidR="00DD7FD5" w:rsidRDefault="00DD7FD5" w:rsidP="00DD7FD5">
      <w:pPr>
        <w:numPr>
          <w:ilvl w:val="0"/>
          <w:numId w:val="42"/>
        </w:numPr>
      </w:pPr>
      <w:r w:rsidRPr="00EA1D15">
        <w:rPr>
          <w:b/>
          <w:i/>
        </w:rPr>
        <w:t>Removing low loading variables</w:t>
      </w:r>
      <w:r>
        <w:t xml:space="preserve">. Variables with a loading below |0.3| are not considered strong indicators of relative advantage or disadvantage and are therefore removed. Variables are removed one at a time, starting with the lowest loading variables, and the PCA is re-run each time. The threshold of |0.3| in generally accepted in PCA literature. </w:t>
      </w:r>
    </w:p>
    <w:p w:rsidR="00DD7FD5" w:rsidRDefault="00DD7FD5" w:rsidP="00DD7FD5">
      <w:pPr>
        <w:numPr>
          <w:ilvl w:val="0"/>
          <w:numId w:val="42"/>
        </w:numPr>
      </w:pPr>
      <w:r w:rsidRPr="00EA1D15">
        <w:rPr>
          <w:b/>
          <w:i/>
        </w:rPr>
        <w:t>Conducting PCA on the reduced list of variables</w:t>
      </w:r>
      <w:r w:rsidRPr="00EA1D15">
        <w:rPr>
          <w:b/>
        </w:rPr>
        <w:t>.</w:t>
      </w:r>
      <w:r>
        <w:t xml:space="preserve"> The PCA process i</w:t>
      </w:r>
      <w:r w:rsidR="00EA1D15">
        <w:t>n</w:t>
      </w:r>
      <w:r>
        <w:t xml:space="preserve"> Step 5 is repeated until no remaining variables have a loading below |0.3|, ensuring that all variables included contribute significantly to the index. </w:t>
      </w:r>
    </w:p>
    <w:p w:rsidR="00DD7FD5" w:rsidRPr="00237D29" w:rsidRDefault="00DD7FD5" w:rsidP="00DD7FD5">
      <w:pPr>
        <w:numPr>
          <w:ilvl w:val="0"/>
          <w:numId w:val="42"/>
        </w:numPr>
      </w:pPr>
      <w:r w:rsidRPr="00EA1D15">
        <w:rPr>
          <w:b/>
          <w:i/>
        </w:rPr>
        <w:t>Standardise component/index scores</w:t>
      </w:r>
      <w:r w:rsidRPr="00237D29">
        <w:t>.</w:t>
      </w:r>
      <w:r>
        <w:t xml:space="preserve"> The principal component score for each collection district is standardised to a mean of 1000 and a standard deviation of 100. This is performed for ease of interpretation. </w:t>
      </w:r>
    </w:p>
    <w:p w:rsidR="00DD7FD5" w:rsidRPr="00237D29" w:rsidRDefault="00DD7FD5" w:rsidP="00DD7FD5">
      <w:pPr>
        <w:numPr>
          <w:ilvl w:val="0"/>
          <w:numId w:val="42"/>
        </w:numPr>
      </w:pPr>
      <w:r w:rsidRPr="00EA1D15">
        <w:rPr>
          <w:b/>
          <w:i/>
        </w:rPr>
        <w:t>Reverse signs of loadings and weights</w:t>
      </w:r>
      <w:r w:rsidRPr="00237D29">
        <w:t xml:space="preserve">. </w:t>
      </w:r>
      <w:r>
        <w:t xml:space="preserve">Each variable is multiplied by -1 to assign positive weights and loading to advantage indicators and negative weights and loadings to disadvantage indicators. This is also performed for ease of interpretation. </w:t>
      </w:r>
    </w:p>
    <w:p w:rsidR="00721482" w:rsidRDefault="00DD7FD5" w:rsidP="002F5277">
      <w:pPr>
        <w:numPr>
          <w:ilvl w:val="0"/>
          <w:numId w:val="42"/>
        </w:numPr>
      </w:pPr>
      <w:r w:rsidRPr="00EA1D15">
        <w:rPr>
          <w:b/>
          <w:i/>
        </w:rPr>
        <w:t>Create higher geographic level indexes</w:t>
      </w:r>
      <w:r w:rsidRPr="00237D29">
        <w:t xml:space="preserve">. </w:t>
      </w:r>
      <w:r>
        <w:t xml:space="preserve">Suburb level and higher geographic level index scores were calculated using population weighted averages of the constituent collection districts of the geographic area in question. </w:t>
      </w:r>
    </w:p>
    <w:p w:rsidR="00C57FD6" w:rsidRDefault="00EA1D15" w:rsidP="00C57FD6">
      <w:r>
        <w:t xml:space="preserve">See </w:t>
      </w:r>
      <w:r>
        <w:rPr>
          <w:b/>
        </w:rPr>
        <w:t>Table A1</w:t>
      </w:r>
      <w:r>
        <w:t xml:space="preserve"> on page 40 for a detailed list of the variable included in the SEIFA and SEIFI IRSD and IRSAD indexes. </w:t>
      </w:r>
    </w:p>
    <w:p w:rsidR="00EA1D15" w:rsidRPr="00EA1D15" w:rsidRDefault="00EA1D15" w:rsidP="00C57FD6"/>
    <w:p w:rsidR="00C57FD6" w:rsidRDefault="00C57FD6" w:rsidP="00C57FD6"/>
    <w:p w:rsidR="00C57FD6" w:rsidRDefault="00C57FD6" w:rsidP="00C57FD6"/>
    <w:p w:rsidR="00C57FD6" w:rsidRDefault="00D67B26" w:rsidP="00C57FD6">
      <w:r>
        <w:rPr>
          <w:noProof/>
          <w:lang w:val="en-AU" w:eastAsia="en-AU"/>
        </w:rPr>
        <w:pict>
          <v:shapetype id="_x0000_t32" coordsize="21600,21600" o:spt="32" o:oned="t" path="m,l21600,21600e" filled="f">
            <v:path arrowok="t" fillok="f" o:connecttype="none"/>
            <o:lock v:ext="edit" shapetype="t"/>
          </v:shapetype>
          <v:shape id="_x0000_s1069" type="#_x0000_t32" style="position:absolute;margin-left:-3.35pt;margin-top:24.9pt;width:185pt;height:0;z-index:251731968" o:connectortype="straight"/>
        </w:pict>
      </w:r>
    </w:p>
    <w:p w:rsidR="00C57FD6" w:rsidRDefault="00C57FD6" w:rsidP="00C57FD6">
      <w:pPr>
        <w:sectPr w:rsidR="00C57FD6" w:rsidSect="008230AD">
          <w:endnotePr>
            <w:numFmt w:val="decimal"/>
          </w:endnotePr>
          <w:type w:val="continuous"/>
          <w:pgSz w:w="12240" w:h="15840"/>
          <w:pgMar w:top="1440" w:right="1440" w:bottom="1276" w:left="1440" w:header="708" w:footer="708" w:gutter="0"/>
          <w:cols w:space="709"/>
          <w:titlePg/>
          <w:docGrid w:linePitch="360"/>
        </w:sectPr>
      </w:pPr>
    </w:p>
    <w:p w:rsidR="00A47EA0" w:rsidRDefault="00881A84" w:rsidP="00881A84">
      <w:pPr>
        <w:pStyle w:val="ListParagraph"/>
        <w:numPr>
          <w:ilvl w:val="0"/>
          <w:numId w:val="27"/>
        </w:numPr>
        <w:spacing w:after="0"/>
        <w:ind w:left="1134" w:hanging="1134"/>
        <w:rPr>
          <w:b/>
          <w:color w:val="244061" w:themeColor="accent1" w:themeShade="80"/>
        </w:rPr>
      </w:pPr>
      <w:r w:rsidRPr="00881A84">
        <w:rPr>
          <w:b/>
          <w:color w:val="244061" w:themeColor="accent1" w:themeShade="80"/>
        </w:rPr>
        <w:lastRenderedPageBreak/>
        <w:t>Codes and descriptions for variables included in SEIFA IRSD, SEIFI IRSD, SEIFA IRSAD, and SEIFI IRSAD</w:t>
      </w:r>
    </w:p>
    <w:tbl>
      <w:tblPr>
        <w:tblW w:w="13815" w:type="dxa"/>
        <w:tblInd w:w="-688" w:type="dxa"/>
        <w:tblBorders>
          <w:top w:val="single" w:sz="8" w:space="0" w:color="000000"/>
          <w:bottom w:val="single" w:sz="8" w:space="0" w:color="000000"/>
        </w:tblBorders>
        <w:tblLayout w:type="fixed"/>
        <w:tblLook w:val="04A0"/>
      </w:tblPr>
      <w:tblGrid>
        <w:gridCol w:w="1908"/>
        <w:gridCol w:w="9072"/>
        <w:gridCol w:w="708"/>
        <w:gridCol w:w="709"/>
        <w:gridCol w:w="709"/>
        <w:gridCol w:w="709"/>
      </w:tblGrid>
      <w:tr w:rsidR="00881A84" w:rsidRPr="00D26BFA" w:rsidTr="00C95D08">
        <w:trPr>
          <w:gridBefore w:val="2"/>
          <w:wBefore w:w="10980" w:type="dxa"/>
        </w:trPr>
        <w:tc>
          <w:tcPr>
            <w:tcW w:w="2835" w:type="dxa"/>
            <w:gridSpan w:val="4"/>
            <w:tcBorders>
              <w:top w:val="single" w:sz="8" w:space="0" w:color="000000"/>
              <w:left w:val="single" w:sz="4" w:space="0" w:color="auto"/>
              <w:bottom w:val="single" w:sz="8" w:space="0" w:color="000000"/>
              <w:right w:val="single" w:sz="4" w:space="0" w:color="auto"/>
            </w:tcBorders>
          </w:tcPr>
          <w:p w:rsidR="00881A84" w:rsidRPr="00D26BFA" w:rsidRDefault="00881A84" w:rsidP="00881A84">
            <w:pPr>
              <w:spacing w:after="0" w:line="240" w:lineRule="auto"/>
              <w:jc w:val="center"/>
              <w:rPr>
                <w:b/>
                <w:bCs/>
                <w:color w:val="000000"/>
              </w:rPr>
            </w:pPr>
            <w:r w:rsidRPr="00D26BFA">
              <w:rPr>
                <w:b/>
                <w:bCs/>
                <w:color w:val="000000"/>
              </w:rPr>
              <w:t>Index Used</w:t>
            </w:r>
          </w:p>
        </w:tc>
      </w:tr>
      <w:tr w:rsidR="00881A84" w:rsidRPr="00D26BFA" w:rsidTr="00C95D08">
        <w:trPr>
          <w:trHeight w:val="487"/>
        </w:trPr>
        <w:tc>
          <w:tcPr>
            <w:tcW w:w="1908" w:type="dxa"/>
            <w:tcBorders>
              <w:top w:val="single" w:sz="4" w:space="0" w:color="auto"/>
              <w:left w:val="single" w:sz="4" w:space="0" w:color="auto"/>
              <w:bottom w:val="single" w:sz="4" w:space="0" w:color="auto"/>
              <w:right w:val="single" w:sz="4" w:space="0" w:color="auto"/>
            </w:tcBorders>
            <w:shd w:val="clear" w:color="auto" w:fill="C0C0C0"/>
            <w:vAlign w:val="center"/>
          </w:tcPr>
          <w:p w:rsidR="00881A84" w:rsidRPr="00C042D5" w:rsidRDefault="00881A84" w:rsidP="00881A84">
            <w:pPr>
              <w:spacing w:after="0" w:line="240" w:lineRule="auto"/>
              <w:rPr>
                <w:b/>
                <w:bCs/>
                <w:color w:val="000000"/>
                <w:sz w:val="18"/>
                <w:szCs w:val="18"/>
              </w:rPr>
            </w:pPr>
            <w:r w:rsidRPr="00C042D5">
              <w:rPr>
                <w:b/>
                <w:bCs/>
                <w:color w:val="000000"/>
                <w:sz w:val="18"/>
                <w:szCs w:val="18"/>
              </w:rPr>
              <w:t>Variable Code</w:t>
            </w:r>
          </w:p>
        </w:tc>
        <w:tc>
          <w:tcPr>
            <w:tcW w:w="9072" w:type="dxa"/>
            <w:tcBorders>
              <w:top w:val="single" w:sz="4" w:space="0" w:color="auto"/>
              <w:left w:val="single" w:sz="4" w:space="0" w:color="auto"/>
              <w:bottom w:val="single" w:sz="4" w:space="0" w:color="auto"/>
              <w:right w:val="single" w:sz="4" w:space="0" w:color="auto"/>
            </w:tcBorders>
            <w:shd w:val="clear" w:color="auto" w:fill="C0C0C0"/>
            <w:vAlign w:val="center"/>
          </w:tcPr>
          <w:p w:rsidR="00881A84" w:rsidRPr="00C042D5" w:rsidRDefault="00881A84" w:rsidP="00881A84">
            <w:pPr>
              <w:spacing w:after="0" w:line="240" w:lineRule="auto"/>
              <w:rPr>
                <w:b/>
                <w:color w:val="000000"/>
                <w:sz w:val="18"/>
                <w:szCs w:val="18"/>
              </w:rPr>
            </w:pPr>
            <w:r w:rsidRPr="00C042D5">
              <w:rPr>
                <w:b/>
                <w:color w:val="000000"/>
                <w:sz w:val="18"/>
                <w:szCs w:val="18"/>
              </w:rPr>
              <w:t>Variable Description</w:t>
            </w:r>
          </w:p>
        </w:tc>
        <w:tc>
          <w:tcPr>
            <w:tcW w:w="708" w:type="dxa"/>
            <w:tcBorders>
              <w:top w:val="nil"/>
              <w:left w:val="single" w:sz="4" w:space="0" w:color="auto"/>
              <w:bottom w:val="single" w:sz="4" w:space="0" w:color="auto"/>
              <w:right w:val="single" w:sz="4" w:space="0" w:color="auto"/>
            </w:tcBorders>
            <w:shd w:val="clear" w:color="auto" w:fill="C0C0C0"/>
            <w:vAlign w:val="center"/>
          </w:tcPr>
          <w:p w:rsidR="00881A84" w:rsidRPr="00C042D5" w:rsidRDefault="00881A84" w:rsidP="00881A84">
            <w:pPr>
              <w:spacing w:after="0" w:line="240" w:lineRule="auto"/>
              <w:jc w:val="center"/>
              <w:rPr>
                <w:b/>
                <w:color w:val="000000"/>
                <w:sz w:val="16"/>
                <w:szCs w:val="16"/>
              </w:rPr>
            </w:pPr>
            <w:r w:rsidRPr="00C042D5">
              <w:rPr>
                <w:b/>
                <w:color w:val="000000"/>
                <w:sz w:val="16"/>
                <w:szCs w:val="16"/>
              </w:rPr>
              <w:t>SEIFA IRSD</w:t>
            </w:r>
          </w:p>
        </w:tc>
        <w:tc>
          <w:tcPr>
            <w:tcW w:w="709" w:type="dxa"/>
            <w:tcBorders>
              <w:top w:val="nil"/>
              <w:left w:val="single" w:sz="4" w:space="0" w:color="auto"/>
              <w:bottom w:val="single" w:sz="4" w:space="0" w:color="auto"/>
              <w:right w:val="single" w:sz="4" w:space="0" w:color="auto"/>
            </w:tcBorders>
            <w:shd w:val="clear" w:color="auto" w:fill="C0C0C0"/>
            <w:vAlign w:val="center"/>
          </w:tcPr>
          <w:p w:rsidR="00881A84" w:rsidRPr="00C042D5" w:rsidRDefault="00881A84" w:rsidP="00881A84">
            <w:pPr>
              <w:spacing w:after="0" w:line="240" w:lineRule="auto"/>
              <w:jc w:val="center"/>
              <w:rPr>
                <w:b/>
                <w:color w:val="000000"/>
                <w:sz w:val="16"/>
                <w:szCs w:val="16"/>
              </w:rPr>
            </w:pPr>
            <w:r w:rsidRPr="00C042D5">
              <w:rPr>
                <w:b/>
                <w:color w:val="000000"/>
                <w:sz w:val="16"/>
                <w:szCs w:val="16"/>
              </w:rPr>
              <w:t>SEIFI IRSD</w:t>
            </w:r>
          </w:p>
        </w:tc>
        <w:tc>
          <w:tcPr>
            <w:tcW w:w="709" w:type="dxa"/>
            <w:tcBorders>
              <w:top w:val="nil"/>
              <w:left w:val="single" w:sz="4" w:space="0" w:color="auto"/>
              <w:bottom w:val="nil"/>
              <w:right w:val="single" w:sz="4" w:space="0" w:color="auto"/>
            </w:tcBorders>
            <w:shd w:val="clear" w:color="auto" w:fill="C0C0C0"/>
            <w:vAlign w:val="center"/>
          </w:tcPr>
          <w:p w:rsidR="00881A84" w:rsidRPr="00C042D5" w:rsidRDefault="00881A84" w:rsidP="00881A84">
            <w:pPr>
              <w:spacing w:after="0" w:line="240" w:lineRule="auto"/>
              <w:jc w:val="center"/>
              <w:rPr>
                <w:b/>
                <w:color w:val="000000"/>
                <w:sz w:val="16"/>
                <w:szCs w:val="16"/>
              </w:rPr>
            </w:pPr>
            <w:r w:rsidRPr="00C042D5">
              <w:rPr>
                <w:b/>
                <w:color w:val="000000"/>
                <w:sz w:val="16"/>
                <w:szCs w:val="16"/>
              </w:rPr>
              <w:t>SEIFA</w:t>
            </w:r>
          </w:p>
          <w:p w:rsidR="00881A84" w:rsidRPr="00C042D5" w:rsidRDefault="00881A84" w:rsidP="00881A84">
            <w:pPr>
              <w:spacing w:after="0" w:line="240" w:lineRule="auto"/>
              <w:jc w:val="center"/>
              <w:rPr>
                <w:b/>
                <w:color w:val="000000"/>
                <w:sz w:val="16"/>
                <w:szCs w:val="16"/>
              </w:rPr>
            </w:pPr>
            <w:r w:rsidRPr="00C042D5">
              <w:rPr>
                <w:b/>
                <w:color w:val="000000"/>
                <w:sz w:val="16"/>
                <w:szCs w:val="16"/>
              </w:rPr>
              <w:t>IRSAD</w:t>
            </w:r>
          </w:p>
        </w:tc>
        <w:tc>
          <w:tcPr>
            <w:tcW w:w="709" w:type="dxa"/>
            <w:tcBorders>
              <w:left w:val="single" w:sz="4" w:space="0" w:color="auto"/>
              <w:right w:val="single" w:sz="4" w:space="0" w:color="auto"/>
            </w:tcBorders>
            <w:shd w:val="clear" w:color="auto" w:fill="C0C0C0"/>
            <w:vAlign w:val="center"/>
          </w:tcPr>
          <w:p w:rsidR="00881A84" w:rsidRPr="00C042D5" w:rsidRDefault="00881A84" w:rsidP="007767DD">
            <w:pPr>
              <w:spacing w:after="0" w:line="240" w:lineRule="auto"/>
              <w:jc w:val="center"/>
              <w:rPr>
                <w:b/>
                <w:color w:val="000000"/>
                <w:sz w:val="16"/>
                <w:szCs w:val="16"/>
              </w:rPr>
            </w:pPr>
            <w:r w:rsidRPr="00C042D5">
              <w:rPr>
                <w:b/>
                <w:color w:val="000000"/>
                <w:sz w:val="16"/>
                <w:szCs w:val="16"/>
              </w:rPr>
              <w:t>SEIFI IRSAD</w:t>
            </w:r>
          </w:p>
        </w:tc>
      </w:tr>
      <w:tr w:rsidR="00C95D08" w:rsidRPr="00D26BFA" w:rsidTr="00EC4D8A">
        <w:tc>
          <w:tcPr>
            <w:tcW w:w="1908" w:type="dxa"/>
            <w:tcBorders>
              <w:top w:val="single" w:sz="4" w:space="0" w:color="auto"/>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INC_LOW</w:t>
            </w:r>
          </w:p>
        </w:tc>
        <w:tc>
          <w:tcPr>
            <w:tcW w:w="9072" w:type="dxa"/>
            <w:tcBorders>
              <w:top w:val="single" w:sz="4" w:space="0" w:color="auto"/>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 xml:space="preserve">Persons with stated annual household </w:t>
            </w:r>
            <w:proofErr w:type="spellStart"/>
            <w:r w:rsidRPr="00C042D5">
              <w:rPr>
                <w:color w:val="000000"/>
                <w:sz w:val="18"/>
                <w:szCs w:val="18"/>
              </w:rPr>
              <w:t>equivalised</w:t>
            </w:r>
            <w:proofErr w:type="spellEnd"/>
            <w:r w:rsidRPr="00C042D5">
              <w:rPr>
                <w:color w:val="000000"/>
                <w:sz w:val="18"/>
                <w:szCs w:val="18"/>
              </w:rPr>
              <w:t xml:space="preserve"> income between $13,000 and $20,799 (approx. 2</w:t>
            </w:r>
            <w:r w:rsidRPr="00C042D5">
              <w:rPr>
                <w:color w:val="000000"/>
                <w:sz w:val="18"/>
                <w:szCs w:val="18"/>
                <w:vertAlign w:val="superscript"/>
              </w:rPr>
              <w:t>nd</w:t>
            </w:r>
            <w:r w:rsidRPr="00C042D5">
              <w:rPr>
                <w:color w:val="000000"/>
                <w:sz w:val="18"/>
                <w:szCs w:val="18"/>
              </w:rPr>
              <w:t xml:space="preserve"> and 3</w:t>
            </w:r>
            <w:r w:rsidRPr="00C042D5">
              <w:rPr>
                <w:color w:val="000000"/>
                <w:sz w:val="18"/>
                <w:szCs w:val="18"/>
                <w:vertAlign w:val="superscript"/>
              </w:rPr>
              <w:t>rd</w:t>
            </w:r>
            <w:r w:rsidRPr="00C042D5">
              <w:rPr>
                <w:color w:val="000000"/>
                <w:sz w:val="18"/>
                <w:szCs w:val="18"/>
              </w:rPr>
              <w:t xml:space="preserve"> deciles)</w:t>
            </w:r>
          </w:p>
        </w:tc>
        <w:tc>
          <w:tcPr>
            <w:tcW w:w="708" w:type="dxa"/>
            <w:tcBorders>
              <w:top w:val="single" w:sz="4" w:space="0" w:color="auto"/>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top w:val="single" w:sz="4" w:space="0" w:color="auto"/>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top w:val="single" w:sz="4" w:space="0" w:color="auto"/>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top w:val="single" w:sz="4" w:space="0" w:color="auto"/>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INC_HIGH</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 xml:space="preserve">Persons with stated annual household </w:t>
            </w:r>
            <w:proofErr w:type="spellStart"/>
            <w:r w:rsidRPr="00C042D5">
              <w:rPr>
                <w:color w:val="000000"/>
                <w:sz w:val="18"/>
                <w:szCs w:val="18"/>
              </w:rPr>
              <w:t>equivalised</w:t>
            </w:r>
            <w:proofErr w:type="spellEnd"/>
            <w:r w:rsidRPr="00C042D5">
              <w:rPr>
                <w:color w:val="000000"/>
                <w:sz w:val="18"/>
                <w:szCs w:val="18"/>
              </w:rPr>
              <w:t xml:space="preserve"> income greater than $52,000 (approx. 9</w:t>
            </w:r>
            <w:r w:rsidRPr="00C042D5">
              <w:rPr>
                <w:color w:val="000000"/>
                <w:sz w:val="18"/>
                <w:szCs w:val="18"/>
                <w:vertAlign w:val="superscript"/>
              </w:rPr>
              <w:t>th</w:t>
            </w:r>
            <w:r w:rsidRPr="00C042D5">
              <w:rPr>
                <w:color w:val="000000"/>
                <w:sz w:val="18"/>
                <w:szCs w:val="18"/>
              </w:rPr>
              <w:t xml:space="preserve"> and 10</w:t>
            </w:r>
            <w:r w:rsidRPr="00C042D5">
              <w:rPr>
                <w:color w:val="000000"/>
                <w:sz w:val="18"/>
                <w:szCs w:val="18"/>
                <w:vertAlign w:val="superscript"/>
              </w:rPr>
              <w:t>th</w:t>
            </w:r>
            <w:r w:rsidRPr="00C042D5">
              <w:rPr>
                <w:color w:val="000000"/>
                <w:sz w:val="18"/>
                <w:szCs w:val="18"/>
              </w:rPr>
              <w:t xml:space="preserve"> deciles)</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NOQUAL</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years and over with no post-school qualifications</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NOSCHOOL</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years and over who did not go to school</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NOYEAR12</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years and over whose highest level of schooling completed is Year 11 or lower</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ATUNI</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years and over at university or other tertiary institution</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DIPLOMA</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years and over with an advanced diploma or diploma qualification</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DEGREE</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years and over has a degree or higher qualification</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UNEMPLOYED</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(in the labour force) who are unemployed</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OCC_DRIVERS</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employed in the sector classified as Machinery Operators and Drivers</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OCC_LABOUR</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employed in the sector classified as Labourers</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OCC_SERVICE_L</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employed in the sector classified as Low-Skill Community and Personal Service Workers</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OCC_PROF</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employed in the sector classified as Professionals</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LOWRENT</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in an occupied private dwelling or households paying less than $120 rent per week (not $0)</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OVERCROWD</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Occupied private dwellings requiring one or more extra bedrooms (based on Canadian national Occupancy Standard)</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RENT_SOCIAL</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or households renting dwelling from a government or community organisation</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HIGHBED</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Occupied private dwellings with four or more bedrooms</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HIGHMORTGAGE</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Households paying mortgage who pay more than $2,120 per month</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HIGHRENT</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Households paying rent who pay more than $290 per week</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right w:val="single" w:sz="4" w:space="0" w:color="auto"/>
            </w:tcBorders>
            <w:vAlign w:val="center"/>
          </w:tcPr>
          <w:p w:rsidR="00C95D08" w:rsidRPr="00C042D5" w:rsidRDefault="00C95D08" w:rsidP="00881A84">
            <w:pPr>
              <w:spacing w:before="40" w:after="40"/>
              <w:jc w:val="center"/>
              <w:rPr>
                <w:color w:val="000000"/>
                <w:sz w:val="18"/>
                <w:szCs w:val="18"/>
              </w:rPr>
            </w:pPr>
            <w:r w:rsidRPr="00C042D5">
              <w:rPr>
                <w:color w:val="000000"/>
                <w:sz w:val="18"/>
                <w:szCs w:val="18"/>
              </w:rPr>
              <w:t>√</w:t>
            </w:r>
          </w:p>
        </w:tc>
        <w:tc>
          <w:tcPr>
            <w:tcW w:w="709" w:type="dxa"/>
            <w:tcBorders>
              <w:right w:val="single" w:sz="4" w:space="0" w:color="auto"/>
            </w:tcBorders>
            <w:vAlign w:val="center"/>
          </w:tcPr>
          <w:p w:rsidR="00C95D08" w:rsidRPr="00C042D5" w:rsidRDefault="00C95D08" w:rsidP="007767DD">
            <w:pPr>
              <w:spacing w:before="40" w:after="40"/>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DISABILITYU70</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under 70 who need assistance with core activities due to a long-term health condition, disability or old age</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nil"/>
              <w:right w:val="single" w:sz="4" w:space="0" w:color="auto"/>
            </w:tcBorders>
            <w:shd w:val="clear" w:color="auto" w:fill="C0C0C0"/>
            <w:vAlign w:val="center"/>
          </w:tcPr>
          <w:p w:rsidR="00C95D08" w:rsidRPr="00C042D5" w:rsidRDefault="00C95D08" w:rsidP="00881A84">
            <w:pPr>
              <w:spacing w:before="40" w:after="40"/>
              <w:jc w:val="center"/>
              <w:rPr>
                <w:color w:val="000000"/>
                <w:sz w:val="18"/>
                <w:szCs w:val="18"/>
              </w:rPr>
            </w:pPr>
            <w:r w:rsidRPr="00C042D5">
              <w:rPr>
                <w:color w:val="000000"/>
                <w:sz w:val="18"/>
                <w:szCs w:val="18"/>
              </w:rPr>
              <w:t>√</w:t>
            </w:r>
          </w:p>
        </w:tc>
        <w:tc>
          <w:tcPr>
            <w:tcW w:w="709" w:type="dxa"/>
            <w:tcBorders>
              <w:left w:val="nil"/>
              <w:right w:val="single" w:sz="4" w:space="0" w:color="auto"/>
            </w:tcBorders>
            <w:shd w:val="clear" w:color="auto" w:fill="C0C0C0"/>
            <w:vAlign w:val="center"/>
          </w:tcPr>
          <w:p w:rsidR="00C95D08" w:rsidRPr="00C042D5" w:rsidRDefault="00C95D08" w:rsidP="007767DD">
            <w:pPr>
              <w:spacing w:before="40" w:after="40"/>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ENGLISHPOOR</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who do not speak English well</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INDIGENOUS</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who identified themselves as being of Aboriginal and/or Torres Strait Islander origin</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nil"/>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nil"/>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NOCAR</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Occupied private dwelling (or person residing in such) with no cars</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NONET</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Occupied private dwelling (or person residing in such) with no internet connection</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nil"/>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nil"/>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ONEPARENT</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Families that are one parent families with dependent offspring only</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DIVORCED</w:t>
            </w:r>
          </w:p>
        </w:tc>
        <w:tc>
          <w:tcPr>
            <w:tcW w:w="9072"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Persons aged 15 and over who are separated or divorced</w:t>
            </w:r>
          </w:p>
        </w:tc>
        <w:tc>
          <w:tcPr>
            <w:tcW w:w="708"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single" w:sz="4" w:space="0" w:color="auto"/>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nil"/>
              <w:right w:val="single" w:sz="4" w:space="0" w:color="auto"/>
            </w:tcBorders>
            <w:shd w:val="clear" w:color="auto" w:fill="C0C0C0"/>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left w:val="nil"/>
              <w:right w:val="single" w:sz="4" w:space="0" w:color="auto"/>
            </w:tcBorders>
            <w:shd w:val="clear" w:color="auto" w:fill="C0C0C0"/>
            <w:vAlign w:val="center"/>
          </w:tcPr>
          <w:p w:rsidR="00C95D08" w:rsidRPr="00C042D5" w:rsidRDefault="00C95D08" w:rsidP="007767DD">
            <w:pPr>
              <w:spacing w:before="40" w:after="40" w:line="240" w:lineRule="auto"/>
              <w:jc w:val="center"/>
              <w:rPr>
                <w:color w:val="000000"/>
                <w:sz w:val="18"/>
                <w:szCs w:val="18"/>
              </w:rPr>
            </w:pPr>
          </w:p>
        </w:tc>
      </w:tr>
      <w:tr w:rsidR="00C95D08" w:rsidRPr="00D26BFA" w:rsidTr="00EC4D8A">
        <w:tc>
          <w:tcPr>
            <w:tcW w:w="1908" w:type="dxa"/>
            <w:tcBorders>
              <w:left w:val="single" w:sz="4" w:space="0" w:color="auto"/>
              <w:right w:val="single" w:sz="4" w:space="0" w:color="auto"/>
            </w:tcBorders>
            <w:vAlign w:val="center"/>
          </w:tcPr>
          <w:p w:rsidR="00C95D08" w:rsidRPr="00C042D5" w:rsidRDefault="00C95D08" w:rsidP="00881A84">
            <w:pPr>
              <w:spacing w:before="40" w:after="40" w:line="240" w:lineRule="auto"/>
              <w:rPr>
                <w:b/>
                <w:bCs/>
                <w:color w:val="000000"/>
                <w:sz w:val="18"/>
                <w:szCs w:val="18"/>
              </w:rPr>
            </w:pPr>
            <w:r w:rsidRPr="00C042D5">
              <w:rPr>
                <w:b/>
                <w:bCs/>
                <w:color w:val="000000"/>
                <w:sz w:val="18"/>
                <w:szCs w:val="18"/>
              </w:rPr>
              <w:t>BROADBAND</w:t>
            </w:r>
          </w:p>
        </w:tc>
        <w:tc>
          <w:tcPr>
            <w:tcW w:w="9072" w:type="dxa"/>
            <w:tcBorders>
              <w:left w:val="single" w:sz="4" w:space="0" w:color="auto"/>
              <w:right w:val="single" w:sz="4" w:space="0" w:color="auto"/>
            </w:tcBorders>
            <w:vAlign w:val="center"/>
          </w:tcPr>
          <w:p w:rsidR="00C95D08" w:rsidRPr="00C042D5" w:rsidRDefault="00C95D08" w:rsidP="00881A84">
            <w:pPr>
              <w:spacing w:before="40" w:after="40" w:line="240" w:lineRule="auto"/>
              <w:rPr>
                <w:color w:val="000000"/>
                <w:sz w:val="18"/>
                <w:szCs w:val="18"/>
              </w:rPr>
            </w:pPr>
            <w:r w:rsidRPr="00C042D5">
              <w:rPr>
                <w:color w:val="000000"/>
                <w:sz w:val="18"/>
                <w:szCs w:val="18"/>
              </w:rPr>
              <w:t>Occupied private dwelling (or person residing in such) with a broadband connection</w:t>
            </w:r>
          </w:p>
        </w:tc>
        <w:tc>
          <w:tcPr>
            <w:tcW w:w="708"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left w:val="single" w:sz="4" w:space="0" w:color="auto"/>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p>
        </w:tc>
        <w:tc>
          <w:tcPr>
            <w:tcW w:w="709" w:type="dxa"/>
            <w:tcBorders>
              <w:right w:val="single" w:sz="4" w:space="0" w:color="auto"/>
            </w:tcBorders>
            <w:vAlign w:val="center"/>
          </w:tcPr>
          <w:p w:rsidR="00C95D08" w:rsidRPr="00C042D5" w:rsidRDefault="00C95D08" w:rsidP="00881A84">
            <w:pPr>
              <w:spacing w:before="40" w:after="40" w:line="240" w:lineRule="auto"/>
              <w:jc w:val="center"/>
              <w:rPr>
                <w:color w:val="000000"/>
                <w:sz w:val="18"/>
                <w:szCs w:val="18"/>
              </w:rPr>
            </w:pPr>
            <w:r w:rsidRPr="00C042D5">
              <w:rPr>
                <w:color w:val="000000"/>
                <w:sz w:val="18"/>
                <w:szCs w:val="18"/>
              </w:rPr>
              <w:t>√</w:t>
            </w:r>
          </w:p>
        </w:tc>
        <w:tc>
          <w:tcPr>
            <w:tcW w:w="709" w:type="dxa"/>
            <w:tcBorders>
              <w:right w:val="single" w:sz="4" w:space="0" w:color="auto"/>
            </w:tcBorders>
            <w:vAlign w:val="center"/>
          </w:tcPr>
          <w:p w:rsidR="00C95D08" w:rsidRPr="00C042D5" w:rsidRDefault="00C95D08" w:rsidP="007767DD">
            <w:pPr>
              <w:spacing w:before="40" w:after="40" w:line="240" w:lineRule="auto"/>
              <w:jc w:val="center"/>
              <w:rPr>
                <w:color w:val="000000"/>
                <w:sz w:val="18"/>
                <w:szCs w:val="18"/>
              </w:rPr>
            </w:pPr>
            <w:r w:rsidRPr="00C042D5">
              <w:rPr>
                <w:color w:val="000000"/>
                <w:sz w:val="18"/>
                <w:szCs w:val="18"/>
              </w:rPr>
              <w:t>√</w:t>
            </w:r>
          </w:p>
        </w:tc>
      </w:tr>
    </w:tbl>
    <w:p w:rsidR="00881A84" w:rsidRPr="00881A84" w:rsidRDefault="00881A84" w:rsidP="00881A84">
      <w:pPr>
        <w:rPr>
          <w:b/>
          <w:color w:val="244061" w:themeColor="accent1" w:themeShade="80"/>
        </w:rPr>
        <w:sectPr w:rsidR="00881A84" w:rsidRPr="00881A84" w:rsidSect="00A47EA0">
          <w:endnotePr>
            <w:numFmt w:val="decimal"/>
          </w:endnotePr>
          <w:pgSz w:w="15840" w:h="12240" w:orient="landscape"/>
          <w:pgMar w:top="1440" w:right="1440" w:bottom="1440" w:left="1559" w:header="709" w:footer="709" w:gutter="0"/>
          <w:cols w:space="709"/>
          <w:titlePg/>
          <w:docGrid w:linePitch="360"/>
        </w:sectPr>
      </w:pPr>
    </w:p>
    <w:p w:rsidR="003C2370" w:rsidRDefault="008C7ACC" w:rsidP="008C7ACC">
      <w:pPr>
        <w:pStyle w:val="Heading1"/>
      </w:pPr>
      <w:bookmarkStart w:id="64" w:name="_Toc358033221"/>
      <w:r>
        <w:lastRenderedPageBreak/>
        <w:t xml:space="preserve">APPENDIX B – </w:t>
      </w:r>
      <w:r w:rsidR="000E1D42">
        <w:t>Supplementary Data</w:t>
      </w:r>
      <w:r>
        <w:t xml:space="preserve"> TABLES</w:t>
      </w:r>
      <w:r w:rsidR="00686B42">
        <w:rPr>
          <w:rStyle w:val="FootnoteReference"/>
        </w:rPr>
        <w:footnoteReference w:id="1"/>
      </w:r>
      <w:bookmarkEnd w:id="64"/>
    </w:p>
    <w:p w:rsidR="00F03282" w:rsidRDefault="00F03282" w:rsidP="008230AD">
      <w:pPr>
        <w:pStyle w:val="Heading2"/>
      </w:pPr>
      <w:bookmarkStart w:id="65" w:name="_Toc358033222"/>
      <w:r>
        <w:t xml:space="preserve">List of </w:t>
      </w:r>
      <w:r w:rsidR="000E1D42">
        <w:t xml:space="preserve">Supplementary Data </w:t>
      </w:r>
      <w:r>
        <w:t>Tables</w:t>
      </w:r>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30"/>
        <w:gridCol w:w="1104"/>
      </w:tblGrid>
      <w:tr w:rsidR="00935E06" w:rsidTr="001C7486">
        <w:tc>
          <w:tcPr>
            <w:tcW w:w="1242" w:type="dxa"/>
          </w:tcPr>
          <w:p w:rsidR="00935E06" w:rsidRDefault="00935E06" w:rsidP="003D45BE">
            <w:pPr>
              <w:spacing w:before="120"/>
            </w:pPr>
            <w:r>
              <w:t>Table B1:</w:t>
            </w:r>
          </w:p>
        </w:tc>
        <w:tc>
          <w:tcPr>
            <w:tcW w:w="7230" w:type="dxa"/>
          </w:tcPr>
          <w:p w:rsidR="00935E06" w:rsidRDefault="000E1D42" w:rsidP="003D45BE">
            <w:pPr>
              <w:spacing w:before="120"/>
            </w:pPr>
            <w:r w:rsidRPr="00935E06">
              <w:t>Percentage distributions of SEIFI IRSD Group by state or territory (15-64 year old population)</w:t>
            </w:r>
          </w:p>
        </w:tc>
        <w:tc>
          <w:tcPr>
            <w:tcW w:w="1104" w:type="dxa"/>
            <w:vAlign w:val="bottom"/>
          </w:tcPr>
          <w:p w:rsidR="00935E06" w:rsidRDefault="000133E4" w:rsidP="003D45BE">
            <w:pPr>
              <w:jc w:val="right"/>
            </w:pPr>
            <w:r>
              <w:t>43</w:t>
            </w:r>
          </w:p>
        </w:tc>
      </w:tr>
      <w:tr w:rsidR="00935E06" w:rsidTr="001C7486">
        <w:tc>
          <w:tcPr>
            <w:tcW w:w="1242" w:type="dxa"/>
          </w:tcPr>
          <w:p w:rsidR="00935E06" w:rsidRDefault="00935E06" w:rsidP="003D45BE">
            <w:pPr>
              <w:spacing w:before="120"/>
            </w:pPr>
            <w:r>
              <w:t>Table B2:</w:t>
            </w:r>
          </w:p>
        </w:tc>
        <w:tc>
          <w:tcPr>
            <w:tcW w:w="7230" w:type="dxa"/>
          </w:tcPr>
          <w:p w:rsidR="00935E06" w:rsidRDefault="000E1D42" w:rsidP="003D45BE">
            <w:pPr>
              <w:spacing w:before="120"/>
            </w:pPr>
            <w:r w:rsidRPr="00935E06">
              <w:t xml:space="preserve">ACT suburbs with 15% or more in Group 1 SEIFI </w:t>
            </w:r>
            <w:r w:rsidR="00410661">
              <w:t xml:space="preserve">IRSD </w:t>
            </w:r>
            <w:r w:rsidRPr="00935E06">
              <w:t xml:space="preserve">and SEIFA </w:t>
            </w:r>
            <w:r w:rsidR="00410661">
              <w:t>IRSD</w:t>
            </w:r>
            <w:r w:rsidR="00410661" w:rsidRPr="00935E06">
              <w:t xml:space="preserve"> </w:t>
            </w:r>
            <w:r w:rsidRPr="00935E06">
              <w:t>of 5 or higher (15-64 year old population)</w:t>
            </w:r>
          </w:p>
        </w:tc>
        <w:tc>
          <w:tcPr>
            <w:tcW w:w="1104" w:type="dxa"/>
            <w:vAlign w:val="bottom"/>
          </w:tcPr>
          <w:p w:rsidR="00935E06" w:rsidRDefault="003D45BE" w:rsidP="003D45BE">
            <w:pPr>
              <w:jc w:val="right"/>
            </w:pPr>
            <w:r>
              <w:t>4</w:t>
            </w:r>
            <w:r w:rsidR="000133E4">
              <w:t>3</w:t>
            </w:r>
          </w:p>
        </w:tc>
      </w:tr>
      <w:tr w:rsidR="00935E06" w:rsidTr="001C7486">
        <w:tc>
          <w:tcPr>
            <w:tcW w:w="1242" w:type="dxa"/>
          </w:tcPr>
          <w:p w:rsidR="00935E06" w:rsidRDefault="00935E06" w:rsidP="003D45BE">
            <w:pPr>
              <w:spacing w:before="120"/>
            </w:pPr>
            <w:r>
              <w:t>Table B3:</w:t>
            </w:r>
          </w:p>
        </w:tc>
        <w:tc>
          <w:tcPr>
            <w:tcW w:w="7230" w:type="dxa"/>
          </w:tcPr>
          <w:p w:rsidR="00935E06" w:rsidRDefault="000E1D42" w:rsidP="003D45BE">
            <w:pPr>
              <w:spacing w:before="120"/>
            </w:pPr>
            <w:r w:rsidRPr="00935E06">
              <w:t xml:space="preserve">ACT suburbs with 10% or more in Group 1 of SEIFI </w:t>
            </w:r>
            <w:r w:rsidR="00410661">
              <w:t>IRSD</w:t>
            </w:r>
            <w:r w:rsidR="00410661" w:rsidRPr="00935E06">
              <w:t xml:space="preserve"> </w:t>
            </w:r>
            <w:r w:rsidRPr="00935E06">
              <w:t xml:space="preserve">and SEIFA </w:t>
            </w:r>
            <w:r w:rsidR="00410661">
              <w:t>IRSD</w:t>
            </w:r>
            <w:r w:rsidR="00410661" w:rsidRPr="00935E06">
              <w:t xml:space="preserve"> </w:t>
            </w:r>
            <w:r w:rsidRPr="00935E06">
              <w:t>of 10 (15-64 year old population)</w:t>
            </w:r>
          </w:p>
        </w:tc>
        <w:tc>
          <w:tcPr>
            <w:tcW w:w="1104" w:type="dxa"/>
            <w:vAlign w:val="bottom"/>
          </w:tcPr>
          <w:p w:rsidR="00935E06" w:rsidRDefault="003D45BE" w:rsidP="003D45BE">
            <w:pPr>
              <w:jc w:val="right"/>
            </w:pPr>
            <w:r>
              <w:t>4</w:t>
            </w:r>
            <w:r w:rsidR="000133E4">
              <w:t>4</w:t>
            </w:r>
          </w:p>
        </w:tc>
      </w:tr>
      <w:tr w:rsidR="00935E06" w:rsidTr="001C7486">
        <w:tc>
          <w:tcPr>
            <w:tcW w:w="1242" w:type="dxa"/>
          </w:tcPr>
          <w:p w:rsidR="00935E06" w:rsidRDefault="00935E06" w:rsidP="003D45BE">
            <w:pPr>
              <w:spacing w:before="120"/>
            </w:pPr>
            <w:r>
              <w:t>Table B4:</w:t>
            </w:r>
          </w:p>
        </w:tc>
        <w:tc>
          <w:tcPr>
            <w:tcW w:w="7230" w:type="dxa"/>
          </w:tcPr>
          <w:p w:rsidR="00935E06" w:rsidRDefault="000E1D42" w:rsidP="003D45BE">
            <w:pPr>
              <w:spacing w:before="120"/>
            </w:pPr>
            <w:r w:rsidRPr="00935E06">
              <w:t xml:space="preserve">ACT suburbs with 15% or more in Group 2 SEIFI </w:t>
            </w:r>
            <w:r w:rsidR="00410661">
              <w:t>IRSD</w:t>
            </w:r>
            <w:r w:rsidR="00410661" w:rsidRPr="00935E06">
              <w:t xml:space="preserve"> </w:t>
            </w:r>
            <w:r w:rsidRPr="00935E06">
              <w:t xml:space="preserve">and SEIFA </w:t>
            </w:r>
            <w:r w:rsidR="00410661">
              <w:t>IRSD</w:t>
            </w:r>
            <w:r w:rsidR="00410661" w:rsidRPr="00935E06">
              <w:t xml:space="preserve"> </w:t>
            </w:r>
            <w:r w:rsidRPr="00935E06">
              <w:t>of 5 or higher (15-64 year old population)</w:t>
            </w:r>
          </w:p>
        </w:tc>
        <w:tc>
          <w:tcPr>
            <w:tcW w:w="1104" w:type="dxa"/>
            <w:vAlign w:val="bottom"/>
          </w:tcPr>
          <w:p w:rsidR="00935E06" w:rsidRDefault="003D45BE" w:rsidP="003D45BE">
            <w:pPr>
              <w:jc w:val="right"/>
            </w:pPr>
            <w:r>
              <w:t>4</w:t>
            </w:r>
            <w:r w:rsidR="000133E4">
              <w:t>4</w:t>
            </w:r>
          </w:p>
        </w:tc>
      </w:tr>
      <w:tr w:rsidR="00935E06" w:rsidTr="001C7486">
        <w:tc>
          <w:tcPr>
            <w:tcW w:w="1242" w:type="dxa"/>
          </w:tcPr>
          <w:p w:rsidR="00935E06" w:rsidRDefault="00935E06" w:rsidP="003D45BE">
            <w:pPr>
              <w:spacing w:before="120"/>
            </w:pPr>
            <w:r>
              <w:t>Table B5:</w:t>
            </w:r>
          </w:p>
        </w:tc>
        <w:tc>
          <w:tcPr>
            <w:tcW w:w="7230" w:type="dxa"/>
          </w:tcPr>
          <w:p w:rsidR="00935E06" w:rsidRDefault="000E1D42" w:rsidP="003D45BE">
            <w:pPr>
              <w:spacing w:before="120"/>
            </w:pPr>
            <w:r w:rsidRPr="00935E06">
              <w:t xml:space="preserve">ACT suburbs with less than 30% in Group 4 SEIFI </w:t>
            </w:r>
            <w:r w:rsidR="00410661">
              <w:t>IRSD</w:t>
            </w:r>
            <w:r w:rsidR="00410661" w:rsidRPr="00935E06">
              <w:t xml:space="preserve"> </w:t>
            </w:r>
            <w:r w:rsidRPr="00935E06">
              <w:t>(15-64 year old population)</w:t>
            </w:r>
          </w:p>
        </w:tc>
        <w:tc>
          <w:tcPr>
            <w:tcW w:w="1104" w:type="dxa"/>
            <w:vAlign w:val="bottom"/>
          </w:tcPr>
          <w:p w:rsidR="00935E06" w:rsidRDefault="003D45BE" w:rsidP="003D45BE">
            <w:pPr>
              <w:jc w:val="right"/>
            </w:pPr>
            <w:r>
              <w:t>4</w:t>
            </w:r>
            <w:r w:rsidR="000133E4">
              <w:t>5</w:t>
            </w:r>
          </w:p>
        </w:tc>
      </w:tr>
      <w:tr w:rsidR="00935E06" w:rsidTr="001C7486">
        <w:tc>
          <w:tcPr>
            <w:tcW w:w="1242" w:type="dxa"/>
          </w:tcPr>
          <w:p w:rsidR="00935E06" w:rsidRDefault="00935E06" w:rsidP="003D45BE">
            <w:pPr>
              <w:spacing w:before="120"/>
            </w:pPr>
            <w:r>
              <w:t>Table B6:</w:t>
            </w:r>
          </w:p>
        </w:tc>
        <w:tc>
          <w:tcPr>
            <w:tcW w:w="7230" w:type="dxa"/>
          </w:tcPr>
          <w:p w:rsidR="00935E06" w:rsidRDefault="000E1D42" w:rsidP="003D45BE">
            <w:pPr>
              <w:spacing w:before="120"/>
            </w:pPr>
            <w:r>
              <w:t xml:space="preserve">Frequency table of SEIFI IRSD Groups by SEIFA IRSD </w:t>
            </w:r>
            <w:proofErr w:type="spellStart"/>
            <w:r>
              <w:t>decile</w:t>
            </w:r>
            <w:proofErr w:type="spellEnd"/>
            <w:r>
              <w:t xml:space="preserve"> score of collection district of residence (15-64 year old population)</w:t>
            </w:r>
          </w:p>
        </w:tc>
        <w:tc>
          <w:tcPr>
            <w:tcW w:w="1104" w:type="dxa"/>
            <w:vAlign w:val="bottom"/>
          </w:tcPr>
          <w:p w:rsidR="00935E06" w:rsidRDefault="003D45BE" w:rsidP="003D45BE">
            <w:pPr>
              <w:jc w:val="right"/>
            </w:pPr>
            <w:r>
              <w:t>4</w:t>
            </w:r>
            <w:r w:rsidR="000133E4">
              <w:t>5</w:t>
            </w:r>
          </w:p>
        </w:tc>
      </w:tr>
      <w:tr w:rsidR="00935E06" w:rsidTr="001C7486">
        <w:tc>
          <w:tcPr>
            <w:tcW w:w="1242" w:type="dxa"/>
          </w:tcPr>
          <w:p w:rsidR="00935E06" w:rsidRDefault="000E1D42" w:rsidP="003D45BE">
            <w:pPr>
              <w:spacing w:before="120"/>
            </w:pPr>
            <w:r>
              <w:t>Table B7:</w:t>
            </w:r>
          </w:p>
        </w:tc>
        <w:tc>
          <w:tcPr>
            <w:tcW w:w="7230" w:type="dxa"/>
          </w:tcPr>
          <w:p w:rsidR="00935E06" w:rsidRDefault="000E1D42" w:rsidP="003D45BE">
            <w:pPr>
              <w:spacing w:before="120"/>
            </w:pPr>
            <w:r w:rsidRPr="00935E06">
              <w:t xml:space="preserve">ACT CDs with ‘diverse’ populations aged 15-64 (&gt;19.37% in Group 1 SEIFI </w:t>
            </w:r>
            <w:r w:rsidR="00410661">
              <w:t>IRSD</w:t>
            </w:r>
            <w:r w:rsidR="00410661" w:rsidRPr="00935E06">
              <w:t xml:space="preserve"> </w:t>
            </w:r>
            <w:r w:rsidRPr="00935E06">
              <w:t>and &gt;30.03% in Group 4 SEIFI</w:t>
            </w:r>
            <w:r w:rsidR="00410661">
              <w:t xml:space="preserve"> IRSD</w:t>
            </w:r>
            <w:r w:rsidRPr="00935E06">
              <w:t>) with SEIFA of 7 or higher</w:t>
            </w:r>
          </w:p>
        </w:tc>
        <w:tc>
          <w:tcPr>
            <w:tcW w:w="1104" w:type="dxa"/>
            <w:vAlign w:val="bottom"/>
          </w:tcPr>
          <w:p w:rsidR="00935E06" w:rsidRDefault="003D45BE" w:rsidP="003D45BE">
            <w:pPr>
              <w:jc w:val="right"/>
            </w:pPr>
            <w:r>
              <w:t>4</w:t>
            </w:r>
            <w:r w:rsidR="000133E4">
              <w:t>5</w:t>
            </w:r>
          </w:p>
        </w:tc>
      </w:tr>
      <w:tr w:rsidR="00935E06" w:rsidTr="001C7486">
        <w:tc>
          <w:tcPr>
            <w:tcW w:w="1242" w:type="dxa"/>
          </w:tcPr>
          <w:p w:rsidR="00935E06" w:rsidRDefault="000E1D42" w:rsidP="003D45BE">
            <w:pPr>
              <w:spacing w:before="120"/>
            </w:pPr>
            <w:r>
              <w:t>Table B8:</w:t>
            </w:r>
          </w:p>
        </w:tc>
        <w:tc>
          <w:tcPr>
            <w:tcW w:w="7230" w:type="dxa"/>
          </w:tcPr>
          <w:p w:rsidR="00935E06" w:rsidRDefault="000E1D42" w:rsidP="003D45BE">
            <w:pPr>
              <w:spacing w:before="120"/>
            </w:pPr>
            <w:r w:rsidRPr="00935E06">
              <w:t xml:space="preserve">ACT CDs with 20% or more in Group 1 SEIFI </w:t>
            </w:r>
            <w:r w:rsidR="00410661">
              <w:t>IRSD</w:t>
            </w:r>
            <w:r w:rsidR="00410661" w:rsidRPr="00935E06">
              <w:t xml:space="preserve"> </w:t>
            </w:r>
            <w:r w:rsidRPr="00935E06">
              <w:t xml:space="preserve">and SEIFA </w:t>
            </w:r>
            <w:r w:rsidR="00410661">
              <w:t>IRSD</w:t>
            </w:r>
            <w:r w:rsidR="00410661" w:rsidRPr="00935E06">
              <w:t xml:space="preserve"> </w:t>
            </w:r>
            <w:r w:rsidRPr="00935E06">
              <w:t>of 5 or higher (15-64 year old population)</w:t>
            </w:r>
          </w:p>
        </w:tc>
        <w:tc>
          <w:tcPr>
            <w:tcW w:w="1104" w:type="dxa"/>
            <w:vAlign w:val="bottom"/>
          </w:tcPr>
          <w:p w:rsidR="00935E06" w:rsidRDefault="003D45BE" w:rsidP="003D45BE">
            <w:pPr>
              <w:jc w:val="right"/>
            </w:pPr>
            <w:r>
              <w:t>4</w:t>
            </w:r>
            <w:r w:rsidR="000133E4">
              <w:t>6</w:t>
            </w:r>
          </w:p>
        </w:tc>
      </w:tr>
      <w:tr w:rsidR="000E1D42" w:rsidTr="001C7486">
        <w:tc>
          <w:tcPr>
            <w:tcW w:w="1242" w:type="dxa"/>
          </w:tcPr>
          <w:p w:rsidR="000E1D42" w:rsidRDefault="000E1D42" w:rsidP="003D45BE">
            <w:pPr>
              <w:spacing w:before="120"/>
            </w:pPr>
            <w:r>
              <w:t>Table B9:</w:t>
            </w:r>
          </w:p>
        </w:tc>
        <w:tc>
          <w:tcPr>
            <w:tcW w:w="7230" w:type="dxa"/>
          </w:tcPr>
          <w:p w:rsidR="000E1D42" w:rsidRDefault="000E1D42" w:rsidP="003D45BE">
            <w:pPr>
              <w:spacing w:before="120"/>
            </w:pPr>
            <w:r w:rsidRPr="00935E06">
              <w:t xml:space="preserve">CDs with 20% or more in Group 2 SEIFI </w:t>
            </w:r>
            <w:r w:rsidR="00410661">
              <w:t>IRSD</w:t>
            </w:r>
            <w:r w:rsidR="00410661" w:rsidRPr="00935E06">
              <w:t xml:space="preserve"> </w:t>
            </w:r>
            <w:r w:rsidRPr="00935E06">
              <w:t>and SEIFA</w:t>
            </w:r>
            <w:r w:rsidR="00410661">
              <w:t xml:space="preserve"> IRSD</w:t>
            </w:r>
            <w:r w:rsidRPr="00935E06">
              <w:t xml:space="preserve"> of 5 or higher (15-64 year old population)</w:t>
            </w:r>
          </w:p>
        </w:tc>
        <w:tc>
          <w:tcPr>
            <w:tcW w:w="1104" w:type="dxa"/>
            <w:vAlign w:val="bottom"/>
          </w:tcPr>
          <w:p w:rsidR="000E1D42" w:rsidRDefault="000133E4" w:rsidP="003D45BE">
            <w:pPr>
              <w:jc w:val="right"/>
            </w:pPr>
            <w:r>
              <w:t>47</w:t>
            </w:r>
          </w:p>
        </w:tc>
      </w:tr>
      <w:tr w:rsidR="000E1D42" w:rsidTr="001C7486">
        <w:tc>
          <w:tcPr>
            <w:tcW w:w="1242" w:type="dxa"/>
          </w:tcPr>
          <w:p w:rsidR="000E1D42" w:rsidRDefault="000E1D42" w:rsidP="003D45BE">
            <w:pPr>
              <w:spacing w:before="120"/>
            </w:pPr>
            <w:r>
              <w:t>Table B10:</w:t>
            </w:r>
          </w:p>
        </w:tc>
        <w:tc>
          <w:tcPr>
            <w:tcW w:w="7230" w:type="dxa"/>
          </w:tcPr>
          <w:p w:rsidR="000E1D42" w:rsidRDefault="000E1D42" w:rsidP="003D45BE">
            <w:pPr>
              <w:spacing w:before="120"/>
            </w:pPr>
            <w:r w:rsidRPr="00935E06">
              <w:t xml:space="preserve">CDs with more than in Group 1 SEIFI </w:t>
            </w:r>
            <w:r w:rsidR="00410661">
              <w:t>IRSD</w:t>
            </w:r>
            <w:r w:rsidR="00410661" w:rsidRPr="00935E06">
              <w:t xml:space="preserve"> </w:t>
            </w:r>
            <w:r w:rsidRPr="00935E06">
              <w:t xml:space="preserve">in suburbs with SEIFA </w:t>
            </w:r>
            <w:r w:rsidR="00410661">
              <w:t>IRSD</w:t>
            </w:r>
            <w:r w:rsidR="00410661" w:rsidRPr="00935E06">
              <w:t xml:space="preserve"> </w:t>
            </w:r>
            <w:r w:rsidRPr="00935E06">
              <w:t>of 8 or higher (15-64 year old population)</w:t>
            </w:r>
          </w:p>
        </w:tc>
        <w:tc>
          <w:tcPr>
            <w:tcW w:w="1104" w:type="dxa"/>
            <w:vAlign w:val="bottom"/>
          </w:tcPr>
          <w:p w:rsidR="000E1D42" w:rsidRDefault="000133E4" w:rsidP="003D45BE">
            <w:pPr>
              <w:jc w:val="right"/>
            </w:pPr>
            <w:r>
              <w:t>48</w:t>
            </w:r>
          </w:p>
        </w:tc>
      </w:tr>
    </w:tbl>
    <w:p w:rsidR="00935E06" w:rsidRDefault="00935E06" w:rsidP="00935E06">
      <w:pPr>
        <w:rPr>
          <w:b/>
          <w:color w:val="244061" w:themeColor="accent1" w:themeShade="80"/>
        </w:rPr>
      </w:pPr>
    </w:p>
    <w:p w:rsidR="00F03282" w:rsidRPr="00457CD0" w:rsidRDefault="00F03282" w:rsidP="00935E06">
      <w:pPr>
        <w:pStyle w:val="ListParagraph"/>
        <w:spacing w:before="240"/>
        <w:ind w:left="1134"/>
        <w:rPr>
          <w:b/>
          <w:color w:val="244061" w:themeColor="accent1" w:themeShade="80"/>
        </w:rPr>
      </w:pPr>
    </w:p>
    <w:p w:rsidR="00F03282" w:rsidRPr="00F03282" w:rsidRDefault="00F03282" w:rsidP="00F03282"/>
    <w:p w:rsidR="00F03282" w:rsidRDefault="00F03282">
      <w:pPr>
        <w:rPr>
          <w:b/>
          <w:color w:val="244061" w:themeColor="accent1" w:themeShade="80"/>
        </w:rPr>
      </w:pPr>
      <w:r>
        <w:rPr>
          <w:b/>
          <w:color w:val="244061" w:themeColor="accent1" w:themeShade="80"/>
        </w:rPr>
        <w:br w:type="page"/>
      </w:r>
    </w:p>
    <w:p w:rsidR="00457CD0" w:rsidRPr="0077375A" w:rsidRDefault="0077375A" w:rsidP="00F03282">
      <w:pPr>
        <w:pStyle w:val="ListParagraph"/>
        <w:numPr>
          <w:ilvl w:val="0"/>
          <w:numId w:val="43"/>
        </w:numPr>
        <w:ind w:left="1134" w:hanging="1134"/>
        <w:rPr>
          <w:b/>
          <w:color w:val="244061" w:themeColor="accent1" w:themeShade="80"/>
        </w:rPr>
      </w:pPr>
      <w:r>
        <w:rPr>
          <w:b/>
          <w:color w:val="244061" w:themeColor="accent1" w:themeShade="80"/>
        </w:rPr>
        <w:lastRenderedPageBreak/>
        <w:t>Percentage distributions of SEIFI IRSD Group by state or territory (15-64 year old population)</w:t>
      </w:r>
    </w:p>
    <w:tbl>
      <w:tblPr>
        <w:tblStyle w:val="MediumList1-Accent5"/>
        <w:tblpPr w:leftFromText="180" w:rightFromText="180" w:vertAnchor="text" w:horzAnchor="margin" w:tblpY="193"/>
        <w:tblW w:w="9464" w:type="dxa"/>
        <w:tblLook w:val="04A0"/>
      </w:tblPr>
      <w:tblGrid>
        <w:gridCol w:w="1526"/>
        <w:gridCol w:w="882"/>
        <w:gridCol w:w="882"/>
        <w:gridCol w:w="882"/>
        <w:gridCol w:w="882"/>
        <w:gridCol w:w="882"/>
        <w:gridCol w:w="882"/>
        <w:gridCol w:w="882"/>
        <w:gridCol w:w="882"/>
        <w:gridCol w:w="882"/>
      </w:tblGrid>
      <w:tr w:rsidR="00457CD0" w:rsidTr="00BE3A03">
        <w:trPr>
          <w:cnfStyle w:val="100000000000"/>
        </w:trPr>
        <w:tc>
          <w:tcPr>
            <w:cnfStyle w:val="001000000000"/>
            <w:tcW w:w="1526" w:type="dxa"/>
            <w:tcBorders>
              <w:top w:val="single" w:sz="4" w:space="0" w:color="31849B" w:themeColor="accent5" w:themeShade="BF"/>
              <w:left w:val="single" w:sz="4" w:space="0" w:color="31849B" w:themeColor="accent5" w:themeShade="BF"/>
              <w:right w:val="single" w:sz="4" w:space="0" w:color="31849B" w:themeColor="accent5" w:themeShade="BF"/>
            </w:tcBorders>
          </w:tcPr>
          <w:p w:rsidR="00457CD0" w:rsidRPr="00C17329" w:rsidRDefault="00457CD0" w:rsidP="0077375A">
            <w:pPr>
              <w:jc w:val="center"/>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 xml:space="preserve">SEIFI IRSD Group </w:t>
            </w:r>
          </w:p>
        </w:tc>
        <w:tc>
          <w:tcPr>
            <w:tcW w:w="882" w:type="dxa"/>
            <w:tcBorders>
              <w:top w:val="single" w:sz="4" w:space="0" w:color="31849B" w:themeColor="accent5" w:themeShade="BF"/>
              <w:left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NSW</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Pr>
                <w:rFonts w:asciiTheme="minorHAnsi" w:hAnsiTheme="minorHAnsi" w:cstheme="minorHAnsi"/>
                <w:color w:val="244061" w:themeColor="accent1" w:themeShade="80"/>
              </w:rPr>
              <w:t>VIC</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Pr>
                <w:rFonts w:asciiTheme="minorHAnsi" w:hAnsiTheme="minorHAnsi" w:cstheme="minorHAnsi"/>
                <w:color w:val="244061" w:themeColor="accent1" w:themeShade="80"/>
              </w:rPr>
              <w:t>QLD</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SA</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WA</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Tas.</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NT</w:t>
            </w:r>
          </w:p>
        </w:tc>
        <w:tc>
          <w:tcPr>
            <w:tcW w:w="882" w:type="dxa"/>
            <w:tcBorders>
              <w:top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ACT</w:t>
            </w:r>
          </w:p>
        </w:tc>
        <w:tc>
          <w:tcPr>
            <w:tcW w:w="882" w:type="dxa"/>
            <w:tcBorders>
              <w:top w:val="single" w:sz="4" w:space="0" w:color="31849B" w:themeColor="accent5" w:themeShade="BF"/>
              <w:right w:val="single" w:sz="4" w:space="0" w:color="31849B" w:themeColor="accent5" w:themeShade="BF"/>
            </w:tcBorders>
            <w:vAlign w:val="center"/>
          </w:tcPr>
          <w:p w:rsidR="00457CD0" w:rsidRPr="00C17329" w:rsidRDefault="00457CD0" w:rsidP="00457CD0">
            <w:pPr>
              <w:jc w:val="center"/>
              <w:cnfStyle w:val="100000000000"/>
              <w:rPr>
                <w:rFonts w:asciiTheme="minorHAnsi" w:hAnsiTheme="minorHAnsi" w:cstheme="minorHAnsi"/>
                <w:color w:val="244061" w:themeColor="accent1" w:themeShade="80"/>
              </w:rPr>
            </w:pPr>
            <w:r w:rsidRPr="00C17329">
              <w:rPr>
                <w:rFonts w:asciiTheme="minorHAnsi" w:hAnsiTheme="minorHAnsi" w:cstheme="minorHAnsi"/>
                <w:color w:val="244061" w:themeColor="accent1" w:themeShade="80"/>
              </w:rPr>
              <w:t>OT</w:t>
            </w:r>
          </w:p>
        </w:tc>
      </w:tr>
      <w:tr w:rsidR="00457CD0" w:rsidTr="00BE3A03">
        <w:trPr>
          <w:cnfStyle w:val="000000100000"/>
        </w:trPr>
        <w:tc>
          <w:tcPr>
            <w:cnfStyle w:val="001000000000"/>
            <w:tcW w:w="1526" w:type="dxa"/>
            <w:tcBorders>
              <w:left w:val="single" w:sz="4" w:space="0" w:color="31849B" w:themeColor="accent5" w:themeShade="BF"/>
              <w:right w:val="single" w:sz="4" w:space="0" w:color="31849B" w:themeColor="accent5" w:themeShade="BF"/>
            </w:tcBorders>
          </w:tcPr>
          <w:p w:rsidR="00457CD0" w:rsidRPr="00C17329" w:rsidRDefault="00457CD0" w:rsidP="00457CD0">
            <w:pPr>
              <w:jc w:val="center"/>
              <w:rPr>
                <w:rFonts w:cstheme="minorHAnsi"/>
                <w:color w:val="244061" w:themeColor="accent1" w:themeShade="80"/>
              </w:rPr>
            </w:pPr>
            <w:r w:rsidRPr="00C17329">
              <w:rPr>
                <w:rFonts w:cstheme="minorHAnsi"/>
                <w:color w:val="244061" w:themeColor="accent1" w:themeShade="80"/>
              </w:rPr>
              <w:t>Group 1</w:t>
            </w:r>
          </w:p>
        </w:tc>
        <w:tc>
          <w:tcPr>
            <w:tcW w:w="882" w:type="dxa"/>
            <w:tcBorders>
              <w:left w:val="single" w:sz="4" w:space="0" w:color="31849B" w:themeColor="accent5" w:themeShade="BF"/>
            </w:tcBorders>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19.2</w:t>
            </w:r>
          </w:p>
        </w:tc>
        <w:tc>
          <w:tcPr>
            <w:tcW w:w="882" w:type="dxa"/>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18.1</w:t>
            </w:r>
          </w:p>
        </w:tc>
        <w:tc>
          <w:tcPr>
            <w:tcW w:w="882" w:type="dxa"/>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19.8</w:t>
            </w:r>
          </w:p>
        </w:tc>
        <w:tc>
          <w:tcPr>
            <w:tcW w:w="882" w:type="dxa"/>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23.1</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17.6</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27.4</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31.2</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12.6</w:t>
            </w:r>
          </w:p>
        </w:tc>
        <w:tc>
          <w:tcPr>
            <w:tcW w:w="882" w:type="dxa"/>
            <w:tcBorders>
              <w:right w:val="single" w:sz="4" w:space="0" w:color="31849B" w:themeColor="accent5" w:themeShade="BF"/>
            </w:tcBorders>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42.8</w:t>
            </w:r>
          </w:p>
        </w:tc>
      </w:tr>
      <w:tr w:rsidR="00457CD0" w:rsidTr="00BE3A03">
        <w:tc>
          <w:tcPr>
            <w:cnfStyle w:val="001000000000"/>
            <w:tcW w:w="1526" w:type="dxa"/>
            <w:tcBorders>
              <w:left w:val="single" w:sz="4" w:space="0" w:color="31849B" w:themeColor="accent5" w:themeShade="BF"/>
              <w:right w:val="single" w:sz="4" w:space="0" w:color="31849B" w:themeColor="accent5" w:themeShade="BF"/>
            </w:tcBorders>
          </w:tcPr>
          <w:p w:rsidR="00457CD0" w:rsidRPr="00C17329" w:rsidRDefault="00457CD0" w:rsidP="00457CD0">
            <w:pPr>
              <w:jc w:val="center"/>
              <w:rPr>
                <w:rFonts w:cstheme="minorHAnsi"/>
                <w:color w:val="244061" w:themeColor="accent1" w:themeShade="80"/>
              </w:rPr>
            </w:pPr>
            <w:r w:rsidRPr="00C17329">
              <w:rPr>
                <w:rFonts w:cstheme="minorHAnsi"/>
                <w:color w:val="244061" w:themeColor="accent1" w:themeShade="80"/>
              </w:rPr>
              <w:t>Group 2</w:t>
            </w:r>
          </w:p>
        </w:tc>
        <w:tc>
          <w:tcPr>
            <w:tcW w:w="882" w:type="dxa"/>
            <w:tcBorders>
              <w:left w:val="single" w:sz="4" w:space="0" w:color="31849B" w:themeColor="accent5" w:themeShade="BF"/>
            </w:tcBorders>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18.6</w:t>
            </w:r>
          </w:p>
        </w:tc>
        <w:tc>
          <w:tcPr>
            <w:tcW w:w="882" w:type="dxa"/>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19.5</w:t>
            </w:r>
          </w:p>
        </w:tc>
        <w:tc>
          <w:tcPr>
            <w:tcW w:w="882" w:type="dxa"/>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21.0</w:t>
            </w:r>
          </w:p>
        </w:tc>
        <w:tc>
          <w:tcPr>
            <w:tcW w:w="882" w:type="dxa"/>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21.7</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20.4</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24.3</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16.1</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11.4</w:t>
            </w:r>
          </w:p>
        </w:tc>
        <w:tc>
          <w:tcPr>
            <w:tcW w:w="882" w:type="dxa"/>
            <w:tcBorders>
              <w:right w:val="single" w:sz="4" w:space="0" w:color="31849B" w:themeColor="accent5" w:themeShade="BF"/>
            </w:tcBorders>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15.4</w:t>
            </w:r>
          </w:p>
        </w:tc>
      </w:tr>
      <w:tr w:rsidR="00457CD0" w:rsidRPr="0077375A" w:rsidTr="00BE3A03">
        <w:trPr>
          <w:cnfStyle w:val="000000100000"/>
        </w:trPr>
        <w:tc>
          <w:tcPr>
            <w:cnfStyle w:val="001000000000"/>
            <w:tcW w:w="1526" w:type="dxa"/>
            <w:tcBorders>
              <w:left w:val="single" w:sz="4" w:space="0" w:color="31849B" w:themeColor="accent5" w:themeShade="BF"/>
              <w:right w:val="single" w:sz="4" w:space="0" w:color="31849B" w:themeColor="accent5" w:themeShade="BF"/>
            </w:tcBorders>
          </w:tcPr>
          <w:p w:rsidR="00457CD0" w:rsidRPr="00C17329" w:rsidRDefault="00457CD0" w:rsidP="00457CD0">
            <w:pPr>
              <w:jc w:val="center"/>
              <w:rPr>
                <w:rFonts w:cstheme="minorHAnsi"/>
                <w:color w:val="244061" w:themeColor="accent1" w:themeShade="80"/>
              </w:rPr>
            </w:pPr>
            <w:r w:rsidRPr="00C17329">
              <w:rPr>
                <w:rFonts w:cstheme="minorHAnsi"/>
                <w:color w:val="244061" w:themeColor="accent1" w:themeShade="80"/>
              </w:rPr>
              <w:t>Group 3</w:t>
            </w:r>
          </w:p>
        </w:tc>
        <w:tc>
          <w:tcPr>
            <w:tcW w:w="882" w:type="dxa"/>
            <w:tcBorders>
              <w:left w:val="single" w:sz="4" w:space="0" w:color="31849B" w:themeColor="accent5" w:themeShade="BF"/>
            </w:tcBorders>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30.6</w:t>
            </w:r>
          </w:p>
        </w:tc>
        <w:tc>
          <w:tcPr>
            <w:tcW w:w="882" w:type="dxa"/>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31.5</w:t>
            </w:r>
          </w:p>
        </w:tc>
        <w:tc>
          <w:tcPr>
            <w:tcW w:w="882" w:type="dxa"/>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31.1</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30.1</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31.6</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27.7</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25.6</w:t>
            </w:r>
          </w:p>
        </w:tc>
        <w:tc>
          <w:tcPr>
            <w:tcW w:w="882" w:type="dxa"/>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32.8</w:t>
            </w:r>
          </w:p>
        </w:tc>
        <w:tc>
          <w:tcPr>
            <w:tcW w:w="882" w:type="dxa"/>
            <w:tcBorders>
              <w:right w:val="single" w:sz="4" w:space="0" w:color="31849B" w:themeColor="accent5" w:themeShade="BF"/>
            </w:tcBorders>
            <w:shd w:val="clear" w:color="auto" w:fill="DAEEF3" w:themeFill="accent5" w:themeFillTint="33"/>
          </w:tcPr>
          <w:p w:rsidR="00457CD0" w:rsidRPr="00C17329" w:rsidRDefault="00457CD0" w:rsidP="00457CD0">
            <w:pPr>
              <w:jc w:val="center"/>
              <w:cnfStyle w:val="000000100000"/>
              <w:rPr>
                <w:rFonts w:cstheme="minorHAnsi"/>
                <w:color w:val="244061" w:themeColor="accent1" w:themeShade="80"/>
              </w:rPr>
            </w:pPr>
            <w:r w:rsidRPr="00C17329">
              <w:rPr>
                <w:rFonts w:cstheme="minorHAnsi"/>
                <w:color w:val="244061" w:themeColor="accent1" w:themeShade="80"/>
              </w:rPr>
              <w:t>20.0</w:t>
            </w:r>
          </w:p>
        </w:tc>
      </w:tr>
      <w:tr w:rsidR="00457CD0" w:rsidTr="00BE3A03">
        <w:tc>
          <w:tcPr>
            <w:cnfStyle w:val="001000000000"/>
            <w:tcW w:w="1526" w:type="dxa"/>
            <w:tcBorders>
              <w:left w:val="single" w:sz="4" w:space="0" w:color="31849B" w:themeColor="accent5" w:themeShade="BF"/>
              <w:right w:val="single" w:sz="4" w:space="0" w:color="31849B" w:themeColor="accent5" w:themeShade="BF"/>
            </w:tcBorders>
          </w:tcPr>
          <w:p w:rsidR="00457CD0" w:rsidRPr="00C17329" w:rsidRDefault="00457CD0" w:rsidP="00457CD0">
            <w:pPr>
              <w:jc w:val="center"/>
              <w:rPr>
                <w:rFonts w:cstheme="minorHAnsi"/>
                <w:color w:val="244061" w:themeColor="accent1" w:themeShade="80"/>
              </w:rPr>
            </w:pPr>
            <w:r w:rsidRPr="00C17329">
              <w:rPr>
                <w:rFonts w:cstheme="minorHAnsi"/>
                <w:color w:val="244061" w:themeColor="accent1" w:themeShade="80"/>
              </w:rPr>
              <w:t>Group 4</w:t>
            </w:r>
          </w:p>
        </w:tc>
        <w:tc>
          <w:tcPr>
            <w:tcW w:w="882" w:type="dxa"/>
            <w:tcBorders>
              <w:left w:val="single" w:sz="4" w:space="0" w:color="31849B" w:themeColor="accent5" w:themeShade="BF"/>
            </w:tcBorders>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31.6</w:t>
            </w:r>
          </w:p>
        </w:tc>
        <w:tc>
          <w:tcPr>
            <w:tcW w:w="882" w:type="dxa"/>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30.9</w:t>
            </w:r>
          </w:p>
        </w:tc>
        <w:tc>
          <w:tcPr>
            <w:tcW w:w="882" w:type="dxa"/>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28.2</w:t>
            </w:r>
          </w:p>
        </w:tc>
        <w:tc>
          <w:tcPr>
            <w:tcW w:w="882" w:type="dxa"/>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25.1</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30.5</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20.6</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27.1</w:t>
            </w:r>
          </w:p>
        </w:tc>
        <w:tc>
          <w:tcPr>
            <w:tcW w:w="882" w:type="dxa"/>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43.2</w:t>
            </w:r>
          </w:p>
        </w:tc>
        <w:tc>
          <w:tcPr>
            <w:tcW w:w="882" w:type="dxa"/>
            <w:tcBorders>
              <w:right w:val="single" w:sz="4" w:space="0" w:color="31849B" w:themeColor="accent5" w:themeShade="BF"/>
            </w:tcBorders>
            <w:shd w:val="clear" w:color="auto" w:fill="auto"/>
          </w:tcPr>
          <w:p w:rsidR="00457CD0" w:rsidRPr="00C17329" w:rsidRDefault="00457CD0" w:rsidP="00457CD0">
            <w:pPr>
              <w:jc w:val="center"/>
              <w:cnfStyle w:val="000000000000"/>
              <w:rPr>
                <w:rFonts w:cstheme="minorHAnsi"/>
                <w:color w:val="244061" w:themeColor="accent1" w:themeShade="80"/>
              </w:rPr>
            </w:pPr>
            <w:r w:rsidRPr="00C17329">
              <w:rPr>
                <w:rFonts w:cstheme="minorHAnsi"/>
                <w:color w:val="244061" w:themeColor="accent1" w:themeShade="80"/>
              </w:rPr>
              <w:t>21.8</w:t>
            </w:r>
          </w:p>
        </w:tc>
      </w:tr>
    </w:tbl>
    <w:p w:rsidR="00457CD0" w:rsidRPr="00457CD0" w:rsidRDefault="004D7BA0" w:rsidP="00F03282">
      <w:pPr>
        <w:pStyle w:val="ListParagraph"/>
        <w:numPr>
          <w:ilvl w:val="0"/>
          <w:numId w:val="43"/>
        </w:numPr>
        <w:spacing w:before="240"/>
        <w:ind w:left="1134" w:hanging="1134"/>
        <w:rPr>
          <w:b/>
          <w:color w:val="244061" w:themeColor="accent1" w:themeShade="80"/>
        </w:rPr>
      </w:pPr>
      <w:r>
        <w:rPr>
          <w:b/>
          <w:color w:val="244061" w:themeColor="accent1" w:themeShade="80"/>
        </w:rPr>
        <w:t>ACT s</w:t>
      </w:r>
      <w:r w:rsidR="0073726D" w:rsidRPr="00871271">
        <w:rPr>
          <w:b/>
          <w:color w:val="244061" w:themeColor="accent1" w:themeShade="80"/>
        </w:rPr>
        <w:t xml:space="preserve">uburbs with </w:t>
      </w:r>
      <w:r w:rsidR="002F1895">
        <w:rPr>
          <w:b/>
          <w:color w:val="244061" w:themeColor="accent1" w:themeShade="80"/>
        </w:rPr>
        <w:t>15</w:t>
      </w:r>
      <w:r w:rsidR="0073726D" w:rsidRPr="00871271">
        <w:rPr>
          <w:b/>
          <w:color w:val="244061" w:themeColor="accent1" w:themeShade="80"/>
        </w:rPr>
        <w:t xml:space="preserve">% </w:t>
      </w:r>
      <w:r w:rsidR="00871271">
        <w:rPr>
          <w:b/>
          <w:color w:val="244061" w:themeColor="accent1" w:themeShade="80"/>
        </w:rPr>
        <w:t xml:space="preserve">or more </w:t>
      </w:r>
      <w:r w:rsidR="0073726D" w:rsidRPr="00871271">
        <w:rPr>
          <w:b/>
          <w:color w:val="244061" w:themeColor="accent1" w:themeShade="80"/>
        </w:rPr>
        <w:t xml:space="preserve">in Group 1 SEIFI </w:t>
      </w:r>
      <w:r w:rsidR="00410661">
        <w:rPr>
          <w:b/>
          <w:color w:val="244061" w:themeColor="accent1" w:themeShade="80"/>
        </w:rPr>
        <w:t xml:space="preserve">IRSD </w:t>
      </w:r>
      <w:r w:rsidR="0073726D" w:rsidRPr="00871271">
        <w:rPr>
          <w:b/>
          <w:color w:val="244061" w:themeColor="accent1" w:themeShade="80"/>
        </w:rPr>
        <w:t>and SEIFA</w:t>
      </w:r>
      <w:r w:rsidR="00410661" w:rsidRPr="00410661">
        <w:rPr>
          <w:b/>
          <w:color w:val="244061" w:themeColor="accent1" w:themeShade="80"/>
        </w:rPr>
        <w:t xml:space="preserve"> </w:t>
      </w:r>
      <w:r w:rsidR="00410661">
        <w:rPr>
          <w:b/>
          <w:color w:val="244061" w:themeColor="accent1" w:themeShade="80"/>
        </w:rPr>
        <w:t>IRSD</w:t>
      </w:r>
      <w:r w:rsidR="0073726D" w:rsidRPr="00871271">
        <w:rPr>
          <w:b/>
          <w:color w:val="244061" w:themeColor="accent1" w:themeShade="80"/>
        </w:rPr>
        <w:t xml:space="preserve"> </w:t>
      </w:r>
      <w:r w:rsidR="00871271" w:rsidRPr="00871271">
        <w:rPr>
          <w:b/>
          <w:color w:val="244061" w:themeColor="accent1" w:themeShade="80"/>
        </w:rPr>
        <w:t>of 5 or higher</w:t>
      </w:r>
      <w:r w:rsidR="00392303">
        <w:rPr>
          <w:b/>
          <w:color w:val="244061" w:themeColor="accent1" w:themeShade="80"/>
        </w:rPr>
        <w:t xml:space="preserve"> (15-64 year old population)</w:t>
      </w:r>
    </w:p>
    <w:tbl>
      <w:tblPr>
        <w:tblStyle w:val="MediumList1-Accent5"/>
        <w:tblW w:w="8805" w:type="dxa"/>
        <w:tblLayout w:type="fixed"/>
        <w:tblLook w:val="04A0"/>
      </w:tblPr>
      <w:tblGrid>
        <w:gridCol w:w="1668"/>
        <w:gridCol w:w="911"/>
        <w:gridCol w:w="911"/>
        <w:gridCol w:w="911"/>
        <w:gridCol w:w="912"/>
        <w:gridCol w:w="941"/>
        <w:gridCol w:w="1276"/>
        <w:gridCol w:w="1275"/>
      </w:tblGrid>
      <w:tr w:rsidR="00DD7778" w:rsidRPr="004D46A0" w:rsidTr="00DD7778">
        <w:trPr>
          <w:cnfStyle w:val="100000000000"/>
          <w:trHeight w:val="650"/>
        </w:trPr>
        <w:tc>
          <w:tcPr>
            <w:cnfStyle w:val="001000000000"/>
            <w:tcW w:w="1668"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DD7778" w:rsidRPr="00BE5299" w:rsidRDefault="00DD7778" w:rsidP="007F45D9">
            <w:pPr>
              <w:spacing w:after="80"/>
              <w:jc w:val="center"/>
              <w:rPr>
                <w:rFonts w:asciiTheme="minorHAnsi" w:hAnsiTheme="minorHAnsi" w:cstheme="minorHAnsi"/>
                <w:color w:val="244061" w:themeColor="accent1" w:themeShade="80"/>
              </w:rPr>
            </w:pPr>
            <w:r w:rsidRPr="00BE5299">
              <w:rPr>
                <w:rFonts w:asciiTheme="minorHAnsi" w:hAnsiTheme="minorHAnsi" w:cstheme="minorHAnsi"/>
                <w:color w:val="244061" w:themeColor="accent1" w:themeShade="80"/>
              </w:rPr>
              <w:t>Suburb</w:t>
            </w:r>
          </w:p>
        </w:tc>
        <w:tc>
          <w:tcPr>
            <w:tcW w:w="364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DD7778" w:rsidRPr="00BE5299" w:rsidRDefault="00DD7778" w:rsidP="001E3CB6">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 of population by SEIFI </w:t>
            </w:r>
            <w:r w:rsidR="00410661" w:rsidRPr="00410661">
              <w:rPr>
                <w:rFonts w:asciiTheme="minorHAnsi" w:hAnsiTheme="minorHAnsi" w:cstheme="minorHAnsi"/>
                <w:b/>
                <w:color w:val="244061" w:themeColor="accent1" w:themeShade="80"/>
              </w:rPr>
              <w:t xml:space="preserve">IRSD </w:t>
            </w:r>
            <w:r w:rsidRPr="00BE5299">
              <w:rPr>
                <w:rFonts w:asciiTheme="minorHAnsi" w:hAnsiTheme="minorHAnsi" w:cstheme="minorHAnsi"/>
                <w:b/>
                <w:color w:val="244061" w:themeColor="accent1" w:themeShade="80"/>
              </w:rPr>
              <w:t>Group</w:t>
            </w:r>
          </w:p>
        </w:tc>
        <w:tc>
          <w:tcPr>
            <w:tcW w:w="94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DD7778" w:rsidRPr="00BE5299" w:rsidRDefault="00DD7778" w:rsidP="007F45D9">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DD7778" w:rsidRPr="00BE5299" w:rsidRDefault="00DD7778" w:rsidP="007F45D9">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Population aged 15-64</w:t>
            </w:r>
          </w:p>
        </w:tc>
        <w:tc>
          <w:tcPr>
            <w:tcW w:w="1275"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DD7778" w:rsidRPr="00BE5299" w:rsidRDefault="00DD7778" w:rsidP="007F45D9">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Population (all ages)</w:t>
            </w:r>
          </w:p>
        </w:tc>
      </w:tr>
      <w:tr w:rsidR="00DD7778" w:rsidRPr="004D46A0" w:rsidTr="00DD7778">
        <w:trPr>
          <w:cnfStyle w:val="000000100000"/>
          <w:trHeight w:val="407"/>
        </w:trPr>
        <w:tc>
          <w:tcPr>
            <w:cnfStyle w:val="001000000000"/>
            <w:tcW w:w="1668"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BE5299" w:rsidRDefault="00DD7778" w:rsidP="00A578B7">
            <w:pPr>
              <w:spacing w:after="80"/>
              <w:jc w:val="center"/>
              <w:rPr>
                <w:rFonts w:cstheme="minorHAnsi"/>
                <w:color w:val="244061" w:themeColor="accent1" w:themeShade="80"/>
              </w:rPr>
            </w:pP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BE5299" w:rsidRDefault="00DD7778" w:rsidP="007F45D9">
            <w:pPr>
              <w:spacing w:after="80"/>
              <w:jc w:val="center"/>
              <w:cnfStyle w:val="000000100000"/>
              <w:rPr>
                <w:rFonts w:cstheme="minorHAnsi"/>
                <w:b/>
              </w:rPr>
            </w:pPr>
            <w:r w:rsidRPr="00BE5299">
              <w:rPr>
                <w:rFonts w:cstheme="minorHAnsi"/>
                <w:b/>
              </w:rPr>
              <w:t>1</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BE5299" w:rsidRDefault="00DD7778" w:rsidP="007F45D9">
            <w:pPr>
              <w:spacing w:after="80"/>
              <w:jc w:val="center"/>
              <w:cnfStyle w:val="000000100000"/>
              <w:rPr>
                <w:rFonts w:cstheme="minorHAnsi"/>
                <w:b/>
              </w:rPr>
            </w:pPr>
            <w:r w:rsidRPr="00BE5299">
              <w:rPr>
                <w:rFonts w:cstheme="minorHAnsi"/>
                <w:b/>
              </w:rPr>
              <w:t>2</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BE5299" w:rsidRDefault="00DD7778" w:rsidP="007F45D9">
            <w:pPr>
              <w:spacing w:after="80"/>
              <w:jc w:val="center"/>
              <w:cnfStyle w:val="000000100000"/>
              <w:rPr>
                <w:rFonts w:cstheme="minorHAnsi"/>
                <w:b/>
              </w:rPr>
            </w:pPr>
            <w:r w:rsidRPr="00BE5299">
              <w:rPr>
                <w:rFonts w:cstheme="minorHAnsi"/>
                <w:b/>
              </w:rPr>
              <w:t>3</w:t>
            </w:r>
          </w:p>
        </w:tc>
        <w:tc>
          <w:tcPr>
            <w:tcW w:w="912"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BE5299" w:rsidRDefault="00DD7778" w:rsidP="007F45D9">
            <w:pPr>
              <w:spacing w:after="80"/>
              <w:jc w:val="center"/>
              <w:cnfStyle w:val="000000100000"/>
              <w:rPr>
                <w:rFonts w:cstheme="minorHAnsi"/>
                <w:b/>
              </w:rPr>
            </w:pPr>
            <w:r w:rsidRPr="00BE5299">
              <w:rPr>
                <w:rFonts w:cstheme="minorHAnsi"/>
                <w:b/>
              </w:rPr>
              <w:t>4</w:t>
            </w:r>
          </w:p>
        </w:tc>
        <w:tc>
          <w:tcPr>
            <w:tcW w:w="941"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A578B7" w:rsidRDefault="00DD7778" w:rsidP="00A578B7">
            <w:pPr>
              <w:spacing w:before="80" w:after="80"/>
              <w:jc w:val="center"/>
              <w:cnfStyle w:val="000000100000"/>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A578B7" w:rsidRDefault="00DD7778" w:rsidP="00A578B7">
            <w:pPr>
              <w:spacing w:before="80" w:after="80"/>
              <w:jc w:val="center"/>
              <w:cnfStyle w:val="000000100000"/>
              <w:rPr>
                <w:rFonts w:cstheme="minorHAnsi"/>
                <w:b/>
              </w:rPr>
            </w:pPr>
          </w:p>
        </w:tc>
        <w:tc>
          <w:tcPr>
            <w:tcW w:w="1275"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DD7778" w:rsidRPr="00A578B7" w:rsidRDefault="00DD7778" w:rsidP="00A578B7">
            <w:pPr>
              <w:spacing w:before="80" w:after="80"/>
              <w:jc w:val="center"/>
              <w:cnfStyle w:val="000000100000"/>
              <w:rPr>
                <w:rFonts w:cstheme="minorHAnsi"/>
                <w:b/>
              </w:rPr>
            </w:pP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Richardson</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24%</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25%</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5</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2334</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3231</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Reid</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23%</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18%</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56%</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5</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1248</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1605</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Page</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20%</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30%</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39%</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1672</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2694</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Scullin</w:t>
            </w:r>
            <w:proofErr w:type="spellEnd"/>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20%</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13%</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31%</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37%</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1935</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2794</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Lyons</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20%</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9%</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29%</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42%</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1669</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2442</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Holt</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19%</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34%</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3255</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4697</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Belconnen</w:t>
            </w:r>
            <w:proofErr w:type="spellEnd"/>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19%</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30%</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46%</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2657</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3057</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Florey</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12%</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39%</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3715</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5107</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Lyneham</w:t>
            </w:r>
            <w:proofErr w:type="spellEnd"/>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28%</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47%</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3163</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4320</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Dickson</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27%</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48%</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1395</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1948</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Gilmore</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36%</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29%</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2037</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2905</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Downer</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29%</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45%</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2308</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3370</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Narrabundah</w:t>
            </w:r>
            <w:proofErr w:type="spellEnd"/>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8%</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26%</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49%</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3785</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5526</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Higgins</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14%</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37%</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2149</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3024</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Ainslie</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25%</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52%</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3257</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4814</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Rivett</w:t>
            </w:r>
            <w:proofErr w:type="spellEnd"/>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13%</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31%</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39%</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2228</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3070</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Macquarie</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9%</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30%</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44%</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1640</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2385</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Spence</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14%</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38%</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1821</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2595</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Oxley</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14%</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34%</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37%</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1312</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1790</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Isabella Plains</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19%</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36%</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31%</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3045</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4316</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Banks</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37%</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30%</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3296</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4904</w:t>
            </w:r>
          </w:p>
        </w:tc>
      </w:tr>
      <w:tr w:rsidR="00DD7778" w:rsidRPr="004D46A0" w:rsidTr="00DD7778">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r w:rsidRPr="0088604F">
              <w:rPr>
                <w:rFonts w:ascii="Calibri" w:hAnsi="Calibri" w:cs="Calibri"/>
                <w:b w:val="0"/>
                <w:color w:val="244061" w:themeColor="accent1" w:themeShade="80"/>
              </w:rPr>
              <w:t>Macgregor</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35%</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9C0006"/>
              </w:rPr>
            </w:pPr>
            <w:r>
              <w:rPr>
                <w:rFonts w:ascii="Calibri" w:hAnsi="Calibri" w:cs="Calibri"/>
                <w:color w:val="9C0006"/>
              </w:rPr>
              <w:t>34%</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2566</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100000"/>
              <w:rPr>
                <w:rFonts w:ascii="Calibri" w:hAnsi="Calibri" w:cs="Calibri"/>
                <w:color w:val="000000"/>
              </w:rPr>
            </w:pPr>
            <w:r>
              <w:rPr>
                <w:rFonts w:ascii="Calibri" w:hAnsi="Calibri" w:cs="Calibri"/>
                <w:color w:val="000000"/>
              </w:rPr>
              <w:t>3485</w:t>
            </w:r>
          </w:p>
        </w:tc>
      </w:tr>
      <w:tr w:rsidR="00DD7778" w:rsidRPr="004D46A0" w:rsidTr="00DD7778">
        <w:tc>
          <w:tcPr>
            <w:cnfStyle w:val="001000000000"/>
            <w:tcW w:w="1668" w:type="dxa"/>
            <w:tcBorders>
              <w:left w:val="single" w:sz="4" w:space="0" w:color="31849B" w:themeColor="accent5" w:themeShade="BF"/>
              <w:right w:val="single" w:sz="4" w:space="0" w:color="31849B" w:themeColor="accent5" w:themeShade="BF"/>
            </w:tcBorders>
            <w:vAlign w:val="bottom"/>
          </w:tcPr>
          <w:p w:rsidR="00DD7778" w:rsidRPr="0088604F" w:rsidRDefault="00DD7778">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Kambah</w:t>
            </w:r>
            <w:proofErr w:type="spellEnd"/>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14%</w:t>
            </w:r>
          </w:p>
        </w:tc>
        <w:tc>
          <w:tcPr>
            <w:tcW w:w="91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33%</w:t>
            </w:r>
          </w:p>
        </w:tc>
        <w:tc>
          <w:tcPr>
            <w:tcW w:w="912"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9C0006"/>
              </w:rPr>
            </w:pPr>
            <w:r>
              <w:rPr>
                <w:rFonts w:ascii="Calibri" w:hAnsi="Calibri" w:cs="Calibri"/>
                <w:color w:val="9C0006"/>
              </w:rPr>
              <w:t>38%</w:t>
            </w:r>
          </w:p>
        </w:tc>
        <w:tc>
          <w:tcPr>
            <w:tcW w:w="941"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11421</w:t>
            </w:r>
          </w:p>
        </w:tc>
        <w:tc>
          <w:tcPr>
            <w:tcW w:w="1275" w:type="dxa"/>
            <w:tcBorders>
              <w:left w:val="single" w:sz="4" w:space="0" w:color="31849B" w:themeColor="accent5" w:themeShade="BF"/>
              <w:right w:val="single" w:sz="4" w:space="0" w:color="31849B" w:themeColor="accent5" w:themeShade="BF"/>
            </w:tcBorders>
            <w:vAlign w:val="bottom"/>
          </w:tcPr>
          <w:p w:rsidR="00DD7778" w:rsidRDefault="00DD7778" w:rsidP="00DD7778">
            <w:pPr>
              <w:jc w:val="center"/>
              <w:cnfStyle w:val="000000000000"/>
              <w:rPr>
                <w:rFonts w:ascii="Calibri" w:hAnsi="Calibri" w:cs="Calibri"/>
                <w:color w:val="000000"/>
              </w:rPr>
            </w:pPr>
            <w:r>
              <w:rPr>
                <w:rFonts w:ascii="Calibri" w:hAnsi="Calibri" w:cs="Calibri"/>
                <w:color w:val="000000"/>
              </w:rPr>
              <w:t>15579</w:t>
            </w:r>
          </w:p>
        </w:tc>
      </w:tr>
    </w:tbl>
    <w:p w:rsidR="00A47EA0" w:rsidRDefault="00A47EA0">
      <w:pPr>
        <w:rPr>
          <w:b/>
          <w:color w:val="244061" w:themeColor="accent1" w:themeShade="80"/>
        </w:rPr>
      </w:pPr>
      <w:r>
        <w:rPr>
          <w:b/>
          <w:color w:val="244061" w:themeColor="accent1" w:themeShade="80"/>
        </w:rPr>
        <w:br w:type="page"/>
      </w:r>
    </w:p>
    <w:p w:rsidR="00457CD0" w:rsidRDefault="00457CD0" w:rsidP="00F03282">
      <w:pPr>
        <w:pStyle w:val="ListParagraph"/>
        <w:numPr>
          <w:ilvl w:val="0"/>
          <w:numId w:val="43"/>
        </w:numPr>
        <w:ind w:left="1134" w:hanging="1134"/>
        <w:rPr>
          <w:b/>
          <w:color w:val="244061" w:themeColor="accent1" w:themeShade="80"/>
        </w:rPr>
      </w:pPr>
      <w:r>
        <w:rPr>
          <w:b/>
          <w:color w:val="244061" w:themeColor="accent1" w:themeShade="80"/>
        </w:rPr>
        <w:lastRenderedPageBreak/>
        <w:t>ACT suburbs with 10% or more in Group 1 of SEIFI</w:t>
      </w:r>
      <w:r w:rsidR="00410661" w:rsidRPr="00410661">
        <w:rPr>
          <w:b/>
          <w:color w:val="244061" w:themeColor="accent1" w:themeShade="80"/>
        </w:rPr>
        <w:t xml:space="preserve"> </w:t>
      </w:r>
      <w:r w:rsidR="00410661">
        <w:rPr>
          <w:b/>
          <w:color w:val="244061" w:themeColor="accent1" w:themeShade="80"/>
        </w:rPr>
        <w:t>IRSD</w:t>
      </w:r>
      <w:r>
        <w:rPr>
          <w:b/>
          <w:color w:val="244061" w:themeColor="accent1" w:themeShade="80"/>
        </w:rPr>
        <w:t xml:space="preserve"> and SEIFA </w:t>
      </w:r>
      <w:r w:rsidR="00410661">
        <w:rPr>
          <w:b/>
          <w:color w:val="244061" w:themeColor="accent1" w:themeShade="80"/>
        </w:rPr>
        <w:t xml:space="preserve">IRSD </w:t>
      </w:r>
      <w:r>
        <w:rPr>
          <w:b/>
          <w:color w:val="244061" w:themeColor="accent1" w:themeShade="80"/>
        </w:rPr>
        <w:t>of 10 (15-64 year old population)</w:t>
      </w:r>
    </w:p>
    <w:tbl>
      <w:tblPr>
        <w:tblStyle w:val="MediumList1-Accent5"/>
        <w:tblW w:w="8805" w:type="dxa"/>
        <w:tblLayout w:type="fixed"/>
        <w:tblLook w:val="04A0"/>
      </w:tblPr>
      <w:tblGrid>
        <w:gridCol w:w="1668"/>
        <w:gridCol w:w="911"/>
        <w:gridCol w:w="911"/>
        <w:gridCol w:w="911"/>
        <w:gridCol w:w="912"/>
        <w:gridCol w:w="941"/>
        <w:gridCol w:w="1276"/>
        <w:gridCol w:w="1275"/>
      </w:tblGrid>
      <w:tr w:rsidR="00457CD0" w:rsidRPr="004D46A0" w:rsidTr="00457CD0">
        <w:trPr>
          <w:cnfStyle w:val="100000000000"/>
          <w:trHeight w:val="650"/>
        </w:trPr>
        <w:tc>
          <w:tcPr>
            <w:cnfStyle w:val="001000000000"/>
            <w:tcW w:w="1668"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457CD0" w:rsidRPr="00BE5299" w:rsidRDefault="00457CD0" w:rsidP="00457CD0">
            <w:pPr>
              <w:spacing w:after="80"/>
              <w:jc w:val="center"/>
              <w:rPr>
                <w:rFonts w:asciiTheme="minorHAnsi" w:hAnsiTheme="minorHAnsi" w:cstheme="minorHAnsi"/>
                <w:color w:val="244061" w:themeColor="accent1" w:themeShade="80"/>
              </w:rPr>
            </w:pPr>
            <w:r w:rsidRPr="00BE5299">
              <w:rPr>
                <w:rFonts w:asciiTheme="minorHAnsi" w:hAnsiTheme="minorHAnsi" w:cstheme="minorHAnsi"/>
                <w:color w:val="244061" w:themeColor="accent1" w:themeShade="80"/>
              </w:rPr>
              <w:t>Suburb</w:t>
            </w:r>
          </w:p>
        </w:tc>
        <w:tc>
          <w:tcPr>
            <w:tcW w:w="364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457CD0" w:rsidRPr="00BE5299" w:rsidRDefault="00457CD0" w:rsidP="00457CD0">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 of population by SEIFI </w:t>
            </w:r>
            <w:r w:rsidR="00410661" w:rsidRPr="00410661">
              <w:rPr>
                <w:rFonts w:asciiTheme="minorHAnsi" w:hAnsiTheme="minorHAnsi" w:cstheme="minorHAnsi"/>
                <w:b/>
                <w:color w:val="244061" w:themeColor="accent1" w:themeShade="80"/>
              </w:rPr>
              <w:t xml:space="preserve">IRSD </w:t>
            </w:r>
            <w:r w:rsidRPr="00BE5299">
              <w:rPr>
                <w:rFonts w:asciiTheme="minorHAnsi" w:hAnsiTheme="minorHAnsi" w:cstheme="minorHAnsi"/>
                <w:b/>
                <w:color w:val="244061" w:themeColor="accent1" w:themeShade="80"/>
              </w:rPr>
              <w:t>Group</w:t>
            </w:r>
          </w:p>
        </w:tc>
        <w:tc>
          <w:tcPr>
            <w:tcW w:w="94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457CD0" w:rsidRPr="00BE5299" w:rsidRDefault="00457CD0" w:rsidP="00457CD0">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457CD0" w:rsidRPr="00BE5299" w:rsidRDefault="00457CD0" w:rsidP="00457CD0">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Population aged 15-64</w:t>
            </w:r>
          </w:p>
        </w:tc>
        <w:tc>
          <w:tcPr>
            <w:tcW w:w="1275"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457CD0" w:rsidRPr="00BE5299" w:rsidRDefault="00457CD0" w:rsidP="00457CD0">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Population (all ages)</w:t>
            </w:r>
          </w:p>
        </w:tc>
      </w:tr>
      <w:tr w:rsidR="00457CD0" w:rsidRPr="004D46A0" w:rsidTr="00457CD0">
        <w:trPr>
          <w:cnfStyle w:val="000000100000"/>
          <w:trHeight w:val="407"/>
        </w:trPr>
        <w:tc>
          <w:tcPr>
            <w:cnfStyle w:val="001000000000"/>
            <w:tcW w:w="1668"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BE5299" w:rsidRDefault="00457CD0" w:rsidP="00457CD0">
            <w:pPr>
              <w:spacing w:after="80"/>
              <w:jc w:val="center"/>
              <w:rPr>
                <w:rFonts w:cstheme="minorHAnsi"/>
                <w:color w:val="244061" w:themeColor="accent1" w:themeShade="80"/>
              </w:rPr>
            </w:pP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BE5299" w:rsidRDefault="00457CD0" w:rsidP="00457CD0">
            <w:pPr>
              <w:spacing w:after="80"/>
              <w:jc w:val="center"/>
              <w:cnfStyle w:val="000000100000"/>
              <w:rPr>
                <w:rFonts w:cstheme="minorHAnsi"/>
                <w:b/>
              </w:rPr>
            </w:pPr>
            <w:r w:rsidRPr="00BE5299">
              <w:rPr>
                <w:rFonts w:cstheme="minorHAnsi"/>
                <w:b/>
              </w:rPr>
              <w:t>1</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BE5299" w:rsidRDefault="00457CD0" w:rsidP="00457CD0">
            <w:pPr>
              <w:spacing w:after="80"/>
              <w:jc w:val="center"/>
              <w:cnfStyle w:val="000000100000"/>
              <w:rPr>
                <w:rFonts w:cstheme="minorHAnsi"/>
                <w:b/>
              </w:rPr>
            </w:pPr>
            <w:r w:rsidRPr="00BE5299">
              <w:rPr>
                <w:rFonts w:cstheme="minorHAnsi"/>
                <w:b/>
              </w:rPr>
              <w:t>2</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BE5299" w:rsidRDefault="00457CD0" w:rsidP="00457CD0">
            <w:pPr>
              <w:spacing w:after="80"/>
              <w:jc w:val="center"/>
              <w:cnfStyle w:val="000000100000"/>
              <w:rPr>
                <w:rFonts w:cstheme="minorHAnsi"/>
                <w:b/>
              </w:rPr>
            </w:pPr>
            <w:r w:rsidRPr="00BE5299">
              <w:rPr>
                <w:rFonts w:cstheme="minorHAnsi"/>
                <w:b/>
              </w:rPr>
              <w:t>3</w:t>
            </w:r>
          </w:p>
        </w:tc>
        <w:tc>
          <w:tcPr>
            <w:tcW w:w="912"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BE5299" w:rsidRDefault="00457CD0" w:rsidP="00457CD0">
            <w:pPr>
              <w:spacing w:after="80"/>
              <w:jc w:val="center"/>
              <w:cnfStyle w:val="000000100000"/>
              <w:rPr>
                <w:rFonts w:cstheme="minorHAnsi"/>
                <w:b/>
              </w:rPr>
            </w:pPr>
            <w:r w:rsidRPr="00BE5299">
              <w:rPr>
                <w:rFonts w:cstheme="minorHAnsi"/>
                <w:b/>
              </w:rPr>
              <w:t>4</w:t>
            </w:r>
          </w:p>
        </w:tc>
        <w:tc>
          <w:tcPr>
            <w:tcW w:w="941"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A578B7" w:rsidRDefault="00457CD0" w:rsidP="00457CD0">
            <w:pPr>
              <w:spacing w:before="80" w:after="80"/>
              <w:jc w:val="center"/>
              <w:cnfStyle w:val="000000100000"/>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A578B7" w:rsidRDefault="00457CD0" w:rsidP="00457CD0">
            <w:pPr>
              <w:spacing w:before="80" w:after="80"/>
              <w:jc w:val="center"/>
              <w:cnfStyle w:val="000000100000"/>
              <w:rPr>
                <w:rFonts w:cstheme="minorHAnsi"/>
                <w:b/>
              </w:rPr>
            </w:pPr>
          </w:p>
        </w:tc>
        <w:tc>
          <w:tcPr>
            <w:tcW w:w="1275"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457CD0" w:rsidRPr="00A578B7" w:rsidRDefault="00457CD0" w:rsidP="00457CD0">
            <w:pPr>
              <w:spacing w:before="80" w:after="80"/>
              <w:jc w:val="center"/>
              <w:cnfStyle w:val="000000100000"/>
              <w:rPr>
                <w:rFonts w:cstheme="minorHAnsi"/>
                <w:b/>
              </w:rPr>
            </w:pPr>
          </w:p>
        </w:tc>
      </w:tr>
      <w:tr w:rsidR="00457CD0" w:rsidRPr="004D46A0" w:rsidTr="00457CD0">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City</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5%</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23%</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9C0006"/>
              </w:rPr>
            </w:pPr>
            <w:r>
              <w:rPr>
                <w:rFonts w:ascii="Calibri" w:hAnsi="Calibri" w:cs="Calibri"/>
                <w:color w:val="9C0006"/>
              </w:rPr>
              <w:t>60%</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656</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722</w:t>
            </w:r>
          </w:p>
        </w:tc>
      </w:tr>
      <w:tr w:rsidR="00457CD0" w:rsidRPr="004D46A0" w:rsidTr="00457CD0">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Kingston</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4%</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25%</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9C0006"/>
              </w:rPr>
            </w:pPr>
            <w:r>
              <w:rPr>
                <w:rFonts w:ascii="Calibri" w:hAnsi="Calibri" w:cs="Calibri"/>
                <w:color w:val="9C0006"/>
              </w:rPr>
              <w:t>60%</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2129</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2451</w:t>
            </w:r>
          </w:p>
        </w:tc>
      </w:tr>
      <w:tr w:rsidR="00457CD0" w:rsidRPr="004D46A0" w:rsidTr="00457CD0">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Holder</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33%</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9C0006"/>
              </w:rPr>
            </w:pPr>
            <w:r>
              <w:rPr>
                <w:rFonts w:ascii="Calibri" w:hAnsi="Calibri" w:cs="Calibri"/>
                <w:color w:val="9C0006"/>
              </w:rPr>
              <w:t>46%</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1808</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2610</w:t>
            </w:r>
          </w:p>
        </w:tc>
      </w:tr>
      <w:tr w:rsidR="00457CD0" w:rsidRPr="004D46A0" w:rsidTr="00457CD0">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Duffy</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9C0006"/>
              </w:rPr>
            </w:pPr>
            <w:r>
              <w:rPr>
                <w:rFonts w:ascii="Calibri" w:hAnsi="Calibri" w:cs="Calibri"/>
                <w:color w:val="9C0006"/>
              </w:rPr>
              <w:t>47%</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2026</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2942</w:t>
            </w:r>
          </w:p>
        </w:tc>
      </w:tr>
      <w:tr w:rsidR="00457CD0" w:rsidRPr="004D46A0" w:rsidTr="00457CD0">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Harrison</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12%</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34%</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9C0006"/>
              </w:rPr>
            </w:pPr>
            <w:r>
              <w:rPr>
                <w:rFonts w:ascii="Calibri" w:hAnsi="Calibri" w:cs="Calibri"/>
                <w:color w:val="9C0006"/>
              </w:rPr>
              <w:t>45%</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225</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304</w:t>
            </w:r>
          </w:p>
        </w:tc>
      </w:tr>
      <w:tr w:rsidR="00457CD0" w:rsidRPr="004D46A0" w:rsidTr="00457CD0">
        <w:trPr>
          <w:cnfStyle w:val="000000100000"/>
          <w:trHeight w:val="119"/>
        </w:trPr>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Hawker</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7%</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30%</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9C0006"/>
              </w:rPr>
            </w:pPr>
            <w:r>
              <w:rPr>
                <w:rFonts w:ascii="Calibri" w:hAnsi="Calibri" w:cs="Calibri"/>
                <w:color w:val="9C0006"/>
              </w:rPr>
              <w:t>53%</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1995</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100000"/>
              <w:rPr>
                <w:rFonts w:ascii="Calibri" w:hAnsi="Calibri" w:cs="Calibri"/>
                <w:color w:val="000000"/>
              </w:rPr>
            </w:pPr>
            <w:r>
              <w:rPr>
                <w:rFonts w:ascii="Calibri" w:hAnsi="Calibri" w:cs="Calibri"/>
                <w:color w:val="000000"/>
              </w:rPr>
              <w:t>2827</w:t>
            </w:r>
          </w:p>
        </w:tc>
      </w:tr>
      <w:tr w:rsidR="00457CD0" w:rsidRPr="004D46A0" w:rsidTr="00457CD0">
        <w:tc>
          <w:tcPr>
            <w:cnfStyle w:val="001000000000"/>
            <w:tcW w:w="1668" w:type="dxa"/>
            <w:tcBorders>
              <w:left w:val="single" w:sz="4" w:space="0" w:color="31849B" w:themeColor="accent5" w:themeShade="BF"/>
              <w:right w:val="single" w:sz="4" w:space="0" w:color="31849B" w:themeColor="accent5" w:themeShade="BF"/>
            </w:tcBorders>
            <w:vAlign w:val="bottom"/>
          </w:tcPr>
          <w:p w:rsidR="00457CD0" w:rsidRPr="00457CD0" w:rsidRDefault="00457CD0">
            <w:pPr>
              <w:rPr>
                <w:rFonts w:ascii="Calibri" w:hAnsi="Calibri" w:cs="Calibri"/>
                <w:b w:val="0"/>
                <w:color w:val="000000"/>
              </w:rPr>
            </w:pPr>
            <w:r w:rsidRPr="00457CD0">
              <w:rPr>
                <w:rFonts w:ascii="Calibri" w:hAnsi="Calibri" w:cs="Calibri"/>
                <w:b w:val="0"/>
                <w:color w:val="000000"/>
              </w:rPr>
              <w:t>Fraser</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12%</w:t>
            </w:r>
          </w:p>
        </w:tc>
        <w:tc>
          <w:tcPr>
            <w:tcW w:w="91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33%</w:t>
            </w:r>
          </w:p>
        </w:tc>
        <w:tc>
          <w:tcPr>
            <w:tcW w:w="912"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9C0006"/>
              </w:rPr>
            </w:pPr>
            <w:r>
              <w:rPr>
                <w:rFonts w:ascii="Calibri" w:hAnsi="Calibri" w:cs="Calibri"/>
                <w:color w:val="9C0006"/>
              </w:rPr>
              <w:t>45%</w:t>
            </w:r>
          </w:p>
        </w:tc>
        <w:tc>
          <w:tcPr>
            <w:tcW w:w="941"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1604</w:t>
            </w:r>
          </w:p>
        </w:tc>
        <w:tc>
          <w:tcPr>
            <w:tcW w:w="1275" w:type="dxa"/>
            <w:tcBorders>
              <w:left w:val="single" w:sz="4" w:space="0" w:color="31849B" w:themeColor="accent5" w:themeShade="BF"/>
              <w:right w:val="single" w:sz="4" w:space="0" w:color="31849B" w:themeColor="accent5" w:themeShade="BF"/>
            </w:tcBorders>
            <w:vAlign w:val="bottom"/>
          </w:tcPr>
          <w:p w:rsidR="00457CD0" w:rsidRDefault="00457CD0" w:rsidP="00457CD0">
            <w:pPr>
              <w:jc w:val="center"/>
              <w:cnfStyle w:val="000000000000"/>
              <w:rPr>
                <w:rFonts w:ascii="Calibri" w:hAnsi="Calibri" w:cs="Calibri"/>
                <w:color w:val="000000"/>
              </w:rPr>
            </w:pPr>
            <w:r>
              <w:rPr>
                <w:rFonts w:ascii="Calibri" w:hAnsi="Calibri" w:cs="Calibri"/>
                <w:color w:val="000000"/>
              </w:rPr>
              <w:t>2157</w:t>
            </w:r>
          </w:p>
        </w:tc>
      </w:tr>
    </w:tbl>
    <w:p w:rsidR="00457CD0" w:rsidRPr="00457CD0" w:rsidRDefault="00457CD0" w:rsidP="00457CD0">
      <w:pPr>
        <w:rPr>
          <w:b/>
          <w:color w:val="244061" w:themeColor="accent1" w:themeShade="80"/>
        </w:rPr>
      </w:pPr>
    </w:p>
    <w:p w:rsidR="009314B6" w:rsidRPr="00220414" w:rsidRDefault="009314B6" w:rsidP="00F03282">
      <w:pPr>
        <w:pStyle w:val="ListParagraph"/>
        <w:numPr>
          <w:ilvl w:val="0"/>
          <w:numId w:val="43"/>
        </w:numPr>
        <w:ind w:left="1134" w:hanging="1134"/>
        <w:rPr>
          <w:b/>
          <w:color w:val="244061" w:themeColor="accent1" w:themeShade="80"/>
        </w:rPr>
      </w:pPr>
      <w:r w:rsidRPr="00220414">
        <w:rPr>
          <w:b/>
          <w:color w:val="244061" w:themeColor="accent1" w:themeShade="80"/>
        </w:rPr>
        <w:t xml:space="preserve">ACT suburbs with </w:t>
      </w:r>
      <w:r w:rsidR="00220414" w:rsidRPr="00220414">
        <w:rPr>
          <w:b/>
          <w:color w:val="244061" w:themeColor="accent1" w:themeShade="80"/>
        </w:rPr>
        <w:t>15% or more in Group 2 SEIFI</w:t>
      </w:r>
      <w:r w:rsidR="00410661" w:rsidRPr="00410661">
        <w:rPr>
          <w:b/>
          <w:color w:val="244061" w:themeColor="accent1" w:themeShade="80"/>
        </w:rPr>
        <w:t xml:space="preserve"> </w:t>
      </w:r>
      <w:r w:rsidR="00410661">
        <w:rPr>
          <w:b/>
          <w:color w:val="244061" w:themeColor="accent1" w:themeShade="80"/>
        </w:rPr>
        <w:t>IRSD</w:t>
      </w:r>
      <w:r w:rsidR="00220414" w:rsidRPr="00220414">
        <w:rPr>
          <w:b/>
          <w:color w:val="244061" w:themeColor="accent1" w:themeShade="80"/>
        </w:rPr>
        <w:t xml:space="preserve"> and SEIFA</w:t>
      </w:r>
      <w:r w:rsidR="00410661" w:rsidRPr="00410661">
        <w:rPr>
          <w:b/>
          <w:color w:val="244061" w:themeColor="accent1" w:themeShade="80"/>
        </w:rPr>
        <w:t xml:space="preserve"> </w:t>
      </w:r>
      <w:r w:rsidR="00410661">
        <w:rPr>
          <w:b/>
          <w:color w:val="244061" w:themeColor="accent1" w:themeShade="80"/>
        </w:rPr>
        <w:t>IRSD</w:t>
      </w:r>
      <w:r w:rsidR="00220414" w:rsidRPr="00220414">
        <w:rPr>
          <w:b/>
          <w:color w:val="244061" w:themeColor="accent1" w:themeShade="80"/>
        </w:rPr>
        <w:t xml:space="preserve"> of 5 or higher (15-64 year old population)</w:t>
      </w:r>
    </w:p>
    <w:tbl>
      <w:tblPr>
        <w:tblStyle w:val="MediumList1-Accent5"/>
        <w:tblW w:w="8805" w:type="dxa"/>
        <w:tblLayout w:type="fixed"/>
        <w:tblLook w:val="04A0"/>
      </w:tblPr>
      <w:tblGrid>
        <w:gridCol w:w="1668"/>
        <w:gridCol w:w="911"/>
        <w:gridCol w:w="911"/>
        <w:gridCol w:w="911"/>
        <w:gridCol w:w="912"/>
        <w:gridCol w:w="941"/>
        <w:gridCol w:w="1276"/>
        <w:gridCol w:w="1275"/>
      </w:tblGrid>
      <w:tr w:rsidR="002F7765" w:rsidRPr="004D46A0" w:rsidTr="002F7765">
        <w:trPr>
          <w:cnfStyle w:val="100000000000"/>
          <w:trHeight w:val="650"/>
        </w:trPr>
        <w:tc>
          <w:tcPr>
            <w:cnfStyle w:val="001000000000"/>
            <w:tcW w:w="1668"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2F7765" w:rsidRPr="00BE5299" w:rsidRDefault="002F7765" w:rsidP="002F7765">
            <w:pPr>
              <w:spacing w:after="80"/>
              <w:jc w:val="center"/>
              <w:rPr>
                <w:rFonts w:asciiTheme="minorHAnsi" w:hAnsiTheme="minorHAnsi" w:cstheme="minorHAnsi"/>
                <w:color w:val="244061" w:themeColor="accent1" w:themeShade="80"/>
              </w:rPr>
            </w:pPr>
            <w:r w:rsidRPr="00BE5299">
              <w:rPr>
                <w:rFonts w:asciiTheme="minorHAnsi" w:hAnsiTheme="minorHAnsi" w:cstheme="minorHAnsi"/>
                <w:color w:val="244061" w:themeColor="accent1" w:themeShade="80"/>
              </w:rPr>
              <w:t>Suburb</w:t>
            </w:r>
          </w:p>
        </w:tc>
        <w:tc>
          <w:tcPr>
            <w:tcW w:w="364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2F7765" w:rsidRPr="00BE5299" w:rsidRDefault="002F7765" w:rsidP="002F7765">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of population by SEIFI</w:t>
            </w:r>
            <w:r w:rsidR="00410661">
              <w:t xml:space="preserve"> </w:t>
            </w:r>
            <w:r w:rsidR="00410661" w:rsidRPr="00410661">
              <w:rPr>
                <w:rFonts w:asciiTheme="minorHAnsi" w:hAnsiTheme="minorHAnsi" w:cstheme="minorHAnsi"/>
                <w:b/>
                <w:color w:val="244061" w:themeColor="accent1" w:themeShade="80"/>
              </w:rPr>
              <w:t>IRSD</w:t>
            </w:r>
            <w:r w:rsidRPr="00BE5299">
              <w:rPr>
                <w:rFonts w:asciiTheme="minorHAnsi" w:hAnsiTheme="minorHAnsi" w:cstheme="minorHAnsi"/>
                <w:b/>
                <w:color w:val="244061" w:themeColor="accent1" w:themeShade="80"/>
              </w:rPr>
              <w:t xml:space="preserve"> Group</w:t>
            </w:r>
          </w:p>
        </w:tc>
        <w:tc>
          <w:tcPr>
            <w:tcW w:w="94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2F7765" w:rsidRPr="00BE5299" w:rsidRDefault="002F7765" w:rsidP="002F7765">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2F7765" w:rsidRPr="00BE5299" w:rsidRDefault="002F7765" w:rsidP="002F7765">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Population aged 15-64</w:t>
            </w:r>
          </w:p>
        </w:tc>
        <w:tc>
          <w:tcPr>
            <w:tcW w:w="1275"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2F7765" w:rsidRPr="00BE5299" w:rsidRDefault="002F7765" w:rsidP="002F7765">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Population (all ages)</w:t>
            </w:r>
          </w:p>
        </w:tc>
      </w:tr>
      <w:tr w:rsidR="002F7765" w:rsidRPr="004D46A0" w:rsidTr="002F7765">
        <w:trPr>
          <w:cnfStyle w:val="000000100000"/>
          <w:trHeight w:val="407"/>
        </w:trPr>
        <w:tc>
          <w:tcPr>
            <w:cnfStyle w:val="001000000000"/>
            <w:tcW w:w="1668"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BE5299" w:rsidRDefault="002F7765" w:rsidP="002F7765">
            <w:pPr>
              <w:spacing w:after="80"/>
              <w:jc w:val="center"/>
              <w:rPr>
                <w:rFonts w:cstheme="minorHAnsi"/>
                <w:color w:val="244061" w:themeColor="accent1" w:themeShade="80"/>
              </w:rPr>
            </w:pP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BE5299" w:rsidRDefault="002F7765" w:rsidP="002F7765">
            <w:pPr>
              <w:spacing w:after="80"/>
              <w:jc w:val="center"/>
              <w:cnfStyle w:val="000000100000"/>
              <w:rPr>
                <w:rFonts w:cstheme="minorHAnsi"/>
                <w:b/>
              </w:rPr>
            </w:pPr>
            <w:r w:rsidRPr="00BE5299">
              <w:rPr>
                <w:rFonts w:cstheme="minorHAnsi"/>
                <w:b/>
              </w:rPr>
              <w:t>1</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BE5299" w:rsidRDefault="002F7765" w:rsidP="002F7765">
            <w:pPr>
              <w:spacing w:after="80"/>
              <w:jc w:val="center"/>
              <w:cnfStyle w:val="000000100000"/>
              <w:rPr>
                <w:rFonts w:cstheme="minorHAnsi"/>
                <w:b/>
              </w:rPr>
            </w:pPr>
            <w:r w:rsidRPr="00BE5299">
              <w:rPr>
                <w:rFonts w:cstheme="minorHAnsi"/>
                <w:b/>
              </w:rPr>
              <w:t>2</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BE5299" w:rsidRDefault="002F7765" w:rsidP="002F7765">
            <w:pPr>
              <w:spacing w:after="80"/>
              <w:jc w:val="center"/>
              <w:cnfStyle w:val="000000100000"/>
              <w:rPr>
                <w:rFonts w:cstheme="minorHAnsi"/>
                <w:b/>
              </w:rPr>
            </w:pPr>
            <w:r w:rsidRPr="00BE5299">
              <w:rPr>
                <w:rFonts w:cstheme="minorHAnsi"/>
                <w:b/>
              </w:rPr>
              <w:t>3</w:t>
            </w:r>
          </w:p>
        </w:tc>
        <w:tc>
          <w:tcPr>
            <w:tcW w:w="912"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BE5299" w:rsidRDefault="002F7765" w:rsidP="002F7765">
            <w:pPr>
              <w:spacing w:after="80"/>
              <w:jc w:val="center"/>
              <w:cnfStyle w:val="000000100000"/>
              <w:rPr>
                <w:rFonts w:cstheme="minorHAnsi"/>
                <w:b/>
              </w:rPr>
            </w:pPr>
            <w:r w:rsidRPr="00BE5299">
              <w:rPr>
                <w:rFonts w:cstheme="minorHAnsi"/>
                <w:b/>
              </w:rPr>
              <w:t>4</w:t>
            </w:r>
          </w:p>
        </w:tc>
        <w:tc>
          <w:tcPr>
            <w:tcW w:w="941"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A578B7" w:rsidRDefault="002F7765" w:rsidP="002F7765">
            <w:pPr>
              <w:spacing w:before="80" w:after="80"/>
              <w:jc w:val="center"/>
              <w:cnfStyle w:val="000000100000"/>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A578B7" w:rsidRDefault="002F7765" w:rsidP="002F7765">
            <w:pPr>
              <w:spacing w:before="80" w:after="80"/>
              <w:jc w:val="center"/>
              <w:cnfStyle w:val="000000100000"/>
              <w:rPr>
                <w:rFonts w:cstheme="minorHAnsi"/>
                <w:b/>
              </w:rPr>
            </w:pPr>
          </w:p>
        </w:tc>
        <w:tc>
          <w:tcPr>
            <w:tcW w:w="1275"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2F7765" w:rsidRPr="00A578B7" w:rsidRDefault="002F7765" w:rsidP="002F7765">
            <w:pPr>
              <w:spacing w:before="80" w:after="80"/>
              <w:jc w:val="center"/>
              <w:cnfStyle w:val="000000100000"/>
              <w:rPr>
                <w:rFonts w:cstheme="minorHAnsi"/>
                <w:b/>
              </w:rPr>
            </w:pP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Fyshwick</w:t>
            </w:r>
            <w:proofErr w:type="spellEnd"/>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41%</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33%</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16%</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54</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56</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Pialligo</w:t>
            </w:r>
            <w:proofErr w:type="spellEnd"/>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6%</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21%</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38%</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35%</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10</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111</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90</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Bonner</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20%</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50%</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20%</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17</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8</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Isabella Plains</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19%</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36%</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31%</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4316</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3045</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Richardson</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24%</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25%</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3231</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2334</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Gilmore</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36%</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29%</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2905</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2037</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Banks</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37%</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30%</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4904</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3296</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Chisholm</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13%</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40%</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30%</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5379</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3895</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Conder</w:t>
            </w:r>
            <w:proofErr w:type="spellEnd"/>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39%</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33%</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9</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5052</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3422</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Theodore</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14%</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38%</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32%</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4108</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2809</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Macgregor</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35%</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34%</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3485</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2566</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Gordon</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12%</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38%</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35%</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9</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7869</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5412</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Dunlop</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12%</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37%</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35%</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9</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5849</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4037</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Calwell</w:t>
            </w:r>
            <w:proofErr w:type="spellEnd"/>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37%</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37%</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9</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5927</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4156</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Latham</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14%</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34%</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37%</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9</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3687</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2627</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Holt</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19%</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34%</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4697</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3255</w:t>
            </w:r>
          </w:p>
        </w:tc>
      </w:tr>
      <w:tr w:rsidR="00DA3EDD" w:rsidRPr="004D46A0" w:rsidTr="00DA3EDD">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Monash</w:t>
            </w:r>
            <w:proofErr w:type="spellEnd"/>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11%</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37%</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9C0006"/>
              </w:rPr>
            </w:pPr>
            <w:r>
              <w:rPr>
                <w:rFonts w:ascii="Calibri" w:hAnsi="Calibri" w:cs="Calibri"/>
                <w:color w:val="9C0006"/>
              </w:rPr>
              <w:t>37%</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9</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5548</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000000"/>
              <w:rPr>
                <w:rFonts w:ascii="Calibri" w:hAnsi="Calibri" w:cs="Calibri"/>
                <w:color w:val="000000"/>
              </w:rPr>
            </w:pPr>
            <w:r>
              <w:rPr>
                <w:rFonts w:ascii="Calibri" w:hAnsi="Calibri" w:cs="Calibri"/>
                <w:color w:val="000000"/>
              </w:rPr>
              <w:t>4016</w:t>
            </w:r>
          </w:p>
        </w:tc>
      </w:tr>
      <w:tr w:rsidR="00DA3EDD" w:rsidRPr="004D46A0" w:rsidTr="00DA3EDD">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DA3EDD" w:rsidRPr="0088604F" w:rsidRDefault="00DA3EDD">
            <w:pPr>
              <w:rPr>
                <w:rFonts w:ascii="Calibri" w:hAnsi="Calibri" w:cs="Calibri"/>
                <w:b w:val="0"/>
                <w:color w:val="244061" w:themeColor="accent1" w:themeShade="80"/>
              </w:rPr>
            </w:pPr>
            <w:r w:rsidRPr="0088604F">
              <w:rPr>
                <w:rFonts w:ascii="Calibri" w:hAnsi="Calibri" w:cs="Calibri"/>
                <w:b w:val="0"/>
                <w:color w:val="244061" w:themeColor="accent1" w:themeShade="80"/>
              </w:rPr>
              <w:t>Greenway</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13%</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15%</w:t>
            </w:r>
          </w:p>
        </w:tc>
        <w:tc>
          <w:tcPr>
            <w:tcW w:w="91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29%</w:t>
            </w:r>
          </w:p>
        </w:tc>
        <w:tc>
          <w:tcPr>
            <w:tcW w:w="912"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9C0006"/>
              </w:rPr>
            </w:pPr>
            <w:r>
              <w:rPr>
                <w:rFonts w:ascii="Calibri" w:hAnsi="Calibri" w:cs="Calibri"/>
                <w:color w:val="9C0006"/>
              </w:rPr>
              <w:t>44%</w:t>
            </w:r>
          </w:p>
        </w:tc>
        <w:tc>
          <w:tcPr>
            <w:tcW w:w="941"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1130</w:t>
            </w:r>
          </w:p>
        </w:tc>
        <w:tc>
          <w:tcPr>
            <w:tcW w:w="1275" w:type="dxa"/>
            <w:tcBorders>
              <w:left w:val="single" w:sz="4" w:space="0" w:color="31849B" w:themeColor="accent5" w:themeShade="BF"/>
              <w:right w:val="single" w:sz="4" w:space="0" w:color="31849B" w:themeColor="accent5" w:themeShade="BF"/>
            </w:tcBorders>
            <w:vAlign w:val="bottom"/>
          </w:tcPr>
          <w:p w:rsidR="00DA3EDD" w:rsidRDefault="00DA3EDD" w:rsidP="00DA3EDD">
            <w:pPr>
              <w:jc w:val="center"/>
              <w:cnfStyle w:val="000000100000"/>
              <w:rPr>
                <w:rFonts w:ascii="Calibri" w:hAnsi="Calibri" w:cs="Calibri"/>
                <w:color w:val="000000"/>
              </w:rPr>
            </w:pPr>
            <w:r>
              <w:rPr>
                <w:rFonts w:ascii="Calibri" w:hAnsi="Calibri" w:cs="Calibri"/>
                <w:color w:val="000000"/>
              </w:rPr>
              <w:t>832</w:t>
            </w:r>
          </w:p>
        </w:tc>
      </w:tr>
    </w:tbl>
    <w:p w:rsidR="006840DF" w:rsidRDefault="006840DF"/>
    <w:p w:rsidR="00457CD0" w:rsidRDefault="00457CD0">
      <w:pPr>
        <w:rPr>
          <w:b/>
          <w:color w:val="244061" w:themeColor="accent1" w:themeShade="80"/>
        </w:rPr>
      </w:pPr>
      <w:r>
        <w:rPr>
          <w:b/>
          <w:color w:val="244061" w:themeColor="accent1" w:themeShade="80"/>
        </w:rPr>
        <w:br w:type="page"/>
      </w:r>
    </w:p>
    <w:p w:rsidR="006840DF" w:rsidRPr="006840DF" w:rsidRDefault="006840DF" w:rsidP="00F03282">
      <w:pPr>
        <w:pStyle w:val="ListParagraph"/>
        <w:numPr>
          <w:ilvl w:val="0"/>
          <w:numId w:val="43"/>
        </w:numPr>
        <w:ind w:left="1134" w:hanging="1134"/>
      </w:pPr>
      <w:r w:rsidRPr="006840DF">
        <w:rPr>
          <w:b/>
          <w:color w:val="244061" w:themeColor="accent1" w:themeShade="80"/>
        </w:rPr>
        <w:lastRenderedPageBreak/>
        <w:t>ACT suburbs with less than 30% in Group 4 SEIFI</w:t>
      </w:r>
      <w:r>
        <w:rPr>
          <w:b/>
          <w:color w:val="244061" w:themeColor="accent1" w:themeShade="80"/>
        </w:rPr>
        <w:t xml:space="preserve"> </w:t>
      </w:r>
      <w:r w:rsidR="00410661">
        <w:rPr>
          <w:b/>
          <w:color w:val="244061" w:themeColor="accent1" w:themeShade="80"/>
        </w:rPr>
        <w:t xml:space="preserve">IRSD </w:t>
      </w:r>
      <w:r>
        <w:rPr>
          <w:b/>
          <w:color w:val="244061" w:themeColor="accent1" w:themeShade="80"/>
        </w:rPr>
        <w:t>(15-64 year old population)</w:t>
      </w:r>
    </w:p>
    <w:tbl>
      <w:tblPr>
        <w:tblStyle w:val="MediumList1-Accent5"/>
        <w:tblW w:w="8805" w:type="dxa"/>
        <w:tblLayout w:type="fixed"/>
        <w:tblLook w:val="04A0"/>
      </w:tblPr>
      <w:tblGrid>
        <w:gridCol w:w="1668"/>
        <w:gridCol w:w="911"/>
        <w:gridCol w:w="911"/>
        <w:gridCol w:w="911"/>
        <w:gridCol w:w="912"/>
        <w:gridCol w:w="941"/>
        <w:gridCol w:w="1276"/>
        <w:gridCol w:w="1275"/>
      </w:tblGrid>
      <w:tr w:rsidR="00C173FA" w:rsidRPr="004D46A0" w:rsidTr="00C173FA">
        <w:trPr>
          <w:cnfStyle w:val="100000000000"/>
          <w:trHeight w:val="650"/>
        </w:trPr>
        <w:tc>
          <w:tcPr>
            <w:cnfStyle w:val="001000000000"/>
            <w:tcW w:w="1668"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C173FA" w:rsidRPr="00BE5299" w:rsidRDefault="00C173FA" w:rsidP="00C173FA">
            <w:pPr>
              <w:spacing w:after="80"/>
              <w:jc w:val="center"/>
              <w:rPr>
                <w:rFonts w:asciiTheme="minorHAnsi" w:hAnsiTheme="minorHAnsi" w:cstheme="minorHAnsi"/>
                <w:color w:val="244061" w:themeColor="accent1" w:themeShade="80"/>
              </w:rPr>
            </w:pPr>
            <w:r w:rsidRPr="00BE5299">
              <w:rPr>
                <w:rFonts w:asciiTheme="minorHAnsi" w:hAnsiTheme="minorHAnsi" w:cstheme="minorHAnsi"/>
                <w:color w:val="244061" w:themeColor="accent1" w:themeShade="80"/>
              </w:rPr>
              <w:t>Suburb</w:t>
            </w:r>
          </w:p>
        </w:tc>
        <w:tc>
          <w:tcPr>
            <w:tcW w:w="364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C173FA" w:rsidRPr="00BE5299" w:rsidRDefault="00C173FA" w:rsidP="00C173FA">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 of population by SEIFI </w:t>
            </w:r>
            <w:r w:rsidR="00410661" w:rsidRPr="00410661">
              <w:rPr>
                <w:rFonts w:asciiTheme="minorHAnsi" w:hAnsiTheme="minorHAnsi" w:cstheme="minorHAnsi"/>
                <w:b/>
                <w:color w:val="244061" w:themeColor="accent1" w:themeShade="80"/>
              </w:rPr>
              <w:t xml:space="preserve">IRSD </w:t>
            </w:r>
            <w:r w:rsidRPr="00BE5299">
              <w:rPr>
                <w:rFonts w:asciiTheme="minorHAnsi" w:hAnsiTheme="minorHAnsi" w:cstheme="minorHAnsi"/>
                <w:b/>
                <w:color w:val="244061" w:themeColor="accent1" w:themeShade="80"/>
              </w:rPr>
              <w:t>Group</w:t>
            </w:r>
          </w:p>
        </w:tc>
        <w:tc>
          <w:tcPr>
            <w:tcW w:w="94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C173FA" w:rsidRPr="00BE5299" w:rsidRDefault="00C173FA" w:rsidP="00C173FA">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C173FA" w:rsidRPr="00BE5299" w:rsidRDefault="00C173FA" w:rsidP="00C173FA">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Population aged 15-64</w:t>
            </w:r>
          </w:p>
        </w:tc>
        <w:tc>
          <w:tcPr>
            <w:tcW w:w="1275"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C173FA" w:rsidRPr="00BE5299" w:rsidRDefault="00C173FA" w:rsidP="00C173FA">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Population (all ages)</w:t>
            </w:r>
          </w:p>
        </w:tc>
      </w:tr>
      <w:tr w:rsidR="00C173FA" w:rsidRPr="004D46A0" w:rsidTr="00C173FA">
        <w:trPr>
          <w:cnfStyle w:val="000000100000"/>
          <w:trHeight w:val="407"/>
        </w:trPr>
        <w:tc>
          <w:tcPr>
            <w:cnfStyle w:val="001000000000"/>
            <w:tcW w:w="1668"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BE5299" w:rsidRDefault="00C173FA" w:rsidP="00C173FA">
            <w:pPr>
              <w:spacing w:after="80"/>
              <w:jc w:val="center"/>
              <w:rPr>
                <w:rFonts w:cstheme="minorHAnsi"/>
                <w:color w:val="244061" w:themeColor="accent1" w:themeShade="80"/>
              </w:rPr>
            </w:pP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BE5299" w:rsidRDefault="00C173FA" w:rsidP="00C173FA">
            <w:pPr>
              <w:spacing w:after="80"/>
              <w:jc w:val="center"/>
              <w:cnfStyle w:val="000000100000"/>
              <w:rPr>
                <w:rFonts w:cstheme="minorHAnsi"/>
                <w:b/>
              </w:rPr>
            </w:pPr>
            <w:r w:rsidRPr="00BE5299">
              <w:rPr>
                <w:rFonts w:cstheme="minorHAnsi"/>
                <w:b/>
              </w:rPr>
              <w:t>1</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BE5299" w:rsidRDefault="00C173FA" w:rsidP="00C173FA">
            <w:pPr>
              <w:spacing w:after="80"/>
              <w:jc w:val="center"/>
              <w:cnfStyle w:val="000000100000"/>
              <w:rPr>
                <w:rFonts w:cstheme="minorHAnsi"/>
                <w:b/>
              </w:rPr>
            </w:pPr>
            <w:r w:rsidRPr="00BE5299">
              <w:rPr>
                <w:rFonts w:cstheme="minorHAnsi"/>
                <w:b/>
              </w:rPr>
              <w:t>2</w:t>
            </w:r>
          </w:p>
        </w:tc>
        <w:tc>
          <w:tcPr>
            <w:tcW w:w="911"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BE5299" w:rsidRDefault="00C173FA" w:rsidP="00C173FA">
            <w:pPr>
              <w:spacing w:after="80"/>
              <w:jc w:val="center"/>
              <w:cnfStyle w:val="000000100000"/>
              <w:rPr>
                <w:rFonts w:cstheme="minorHAnsi"/>
                <w:b/>
              </w:rPr>
            </w:pPr>
            <w:r w:rsidRPr="00BE5299">
              <w:rPr>
                <w:rFonts w:cstheme="minorHAnsi"/>
                <w:b/>
              </w:rPr>
              <w:t>3</w:t>
            </w:r>
          </w:p>
        </w:tc>
        <w:tc>
          <w:tcPr>
            <w:tcW w:w="912"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BE5299" w:rsidRDefault="00C173FA" w:rsidP="00C173FA">
            <w:pPr>
              <w:spacing w:after="80"/>
              <w:jc w:val="center"/>
              <w:cnfStyle w:val="000000100000"/>
              <w:rPr>
                <w:rFonts w:cstheme="minorHAnsi"/>
                <w:b/>
              </w:rPr>
            </w:pPr>
            <w:r w:rsidRPr="00BE5299">
              <w:rPr>
                <w:rFonts w:cstheme="minorHAnsi"/>
                <w:b/>
              </w:rPr>
              <w:t>4</w:t>
            </w:r>
          </w:p>
        </w:tc>
        <w:tc>
          <w:tcPr>
            <w:tcW w:w="941"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A578B7" w:rsidRDefault="00C173FA" w:rsidP="00C173FA">
            <w:pPr>
              <w:spacing w:before="80" w:after="80"/>
              <w:jc w:val="center"/>
              <w:cnfStyle w:val="000000100000"/>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A578B7" w:rsidRDefault="00C173FA" w:rsidP="00C173FA">
            <w:pPr>
              <w:spacing w:before="80" w:after="80"/>
              <w:jc w:val="center"/>
              <w:cnfStyle w:val="000000100000"/>
              <w:rPr>
                <w:rFonts w:cstheme="minorHAnsi"/>
                <w:b/>
              </w:rPr>
            </w:pPr>
          </w:p>
        </w:tc>
        <w:tc>
          <w:tcPr>
            <w:tcW w:w="1275"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C173FA" w:rsidRPr="00A578B7" w:rsidRDefault="00C173FA" w:rsidP="00C173FA">
            <w:pPr>
              <w:spacing w:before="80" w:after="80"/>
              <w:jc w:val="center"/>
              <w:cnfStyle w:val="000000100000"/>
              <w:rPr>
                <w:rFonts w:cstheme="minorHAnsi"/>
                <w:b/>
              </w:rPr>
            </w:pPr>
          </w:p>
        </w:tc>
      </w:tr>
      <w:tr w:rsidR="00686B42" w:rsidRPr="004D46A0" w:rsidTr="00686B42">
        <w:tc>
          <w:tcPr>
            <w:cnfStyle w:val="001000000000"/>
            <w:tcW w:w="1668" w:type="dxa"/>
            <w:tcBorders>
              <w:left w:val="single" w:sz="4" w:space="0" w:color="31849B" w:themeColor="accent5" w:themeShade="BF"/>
              <w:right w:val="single" w:sz="4" w:space="0" w:color="31849B" w:themeColor="accent5" w:themeShade="BF"/>
            </w:tcBorders>
            <w:vAlign w:val="bottom"/>
          </w:tcPr>
          <w:p w:rsidR="00686B42" w:rsidRPr="0088604F" w:rsidRDefault="00686B42">
            <w:pPr>
              <w:rPr>
                <w:rFonts w:ascii="Calibri" w:hAnsi="Calibri" w:cs="Calibri"/>
                <w:b w:val="0"/>
                <w:color w:val="244061" w:themeColor="accent1" w:themeShade="80"/>
              </w:rPr>
            </w:pPr>
            <w:r w:rsidRPr="0088604F">
              <w:rPr>
                <w:rFonts w:ascii="Calibri" w:hAnsi="Calibri" w:cs="Calibri"/>
                <w:b w:val="0"/>
                <w:color w:val="244061" w:themeColor="accent1" w:themeShade="80"/>
              </w:rPr>
              <w:t>Gilmore</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17%</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36%</w:t>
            </w:r>
          </w:p>
        </w:tc>
        <w:tc>
          <w:tcPr>
            <w:tcW w:w="912"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29%</w:t>
            </w:r>
          </w:p>
        </w:tc>
        <w:tc>
          <w:tcPr>
            <w:tcW w:w="94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7</w:t>
            </w:r>
          </w:p>
        </w:tc>
        <w:tc>
          <w:tcPr>
            <w:tcW w:w="1276"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2037</w:t>
            </w:r>
          </w:p>
        </w:tc>
        <w:tc>
          <w:tcPr>
            <w:tcW w:w="1275"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2905</w:t>
            </w:r>
          </w:p>
        </w:tc>
      </w:tr>
      <w:tr w:rsidR="00686B42" w:rsidRPr="004D46A0" w:rsidTr="00686B42">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686B42" w:rsidRPr="0088604F" w:rsidRDefault="00686B42">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Charnwood</w:t>
            </w:r>
            <w:proofErr w:type="spellEnd"/>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9C0006"/>
              </w:rPr>
            </w:pPr>
            <w:r>
              <w:rPr>
                <w:rFonts w:ascii="Calibri" w:hAnsi="Calibri" w:cs="Calibri"/>
                <w:color w:val="9C0006"/>
              </w:rPr>
              <w:t>26%</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16%</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26%</w:t>
            </w:r>
          </w:p>
        </w:tc>
        <w:tc>
          <w:tcPr>
            <w:tcW w:w="94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4</w:t>
            </w:r>
          </w:p>
        </w:tc>
        <w:tc>
          <w:tcPr>
            <w:tcW w:w="1276"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2140</w:t>
            </w:r>
          </w:p>
        </w:tc>
        <w:tc>
          <w:tcPr>
            <w:tcW w:w="1275"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3020</w:t>
            </w:r>
          </w:p>
        </w:tc>
      </w:tr>
      <w:tr w:rsidR="00686B42" w:rsidRPr="004D46A0" w:rsidTr="00686B42">
        <w:tc>
          <w:tcPr>
            <w:cnfStyle w:val="001000000000"/>
            <w:tcW w:w="1668" w:type="dxa"/>
            <w:tcBorders>
              <w:left w:val="single" w:sz="4" w:space="0" w:color="31849B" w:themeColor="accent5" w:themeShade="BF"/>
              <w:right w:val="single" w:sz="4" w:space="0" w:color="31849B" w:themeColor="accent5" w:themeShade="BF"/>
            </w:tcBorders>
            <w:vAlign w:val="bottom"/>
          </w:tcPr>
          <w:p w:rsidR="00686B42" w:rsidRPr="0088604F" w:rsidRDefault="00686B42">
            <w:pPr>
              <w:rPr>
                <w:rFonts w:ascii="Calibri" w:hAnsi="Calibri" w:cs="Calibri"/>
                <w:b w:val="0"/>
                <w:color w:val="244061" w:themeColor="accent1" w:themeShade="80"/>
              </w:rPr>
            </w:pPr>
            <w:r w:rsidRPr="0088604F">
              <w:rPr>
                <w:rFonts w:ascii="Calibri" w:hAnsi="Calibri" w:cs="Calibri"/>
                <w:b w:val="0"/>
                <w:color w:val="244061" w:themeColor="accent1" w:themeShade="80"/>
              </w:rPr>
              <w:t>Richardson</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9C0006"/>
              </w:rPr>
            </w:pPr>
            <w:r>
              <w:rPr>
                <w:rFonts w:ascii="Calibri" w:hAnsi="Calibri" w:cs="Calibri"/>
                <w:color w:val="9C0006"/>
              </w:rPr>
              <w:t>24%</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18%</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32%</w:t>
            </w:r>
          </w:p>
        </w:tc>
        <w:tc>
          <w:tcPr>
            <w:tcW w:w="912"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25%</w:t>
            </w:r>
          </w:p>
        </w:tc>
        <w:tc>
          <w:tcPr>
            <w:tcW w:w="94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5</w:t>
            </w:r>
          </w:p>
        </w:tc>
        <w:tc>
          <w:tcPr>
            <w:tcW w:w="1276"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2334</w:t>
            </w:r>
          </w:p>
        </w:tc>
        <w:tc>
          <w:tcPr>
            <w:tcW w:w="1275"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3231</w:t>
            </w:r>
          </w:p>
        </w:tc>
      </w:tr>
      <w:tr w:rsidR="00686B42" w:rsidRPr="004D46A0" w:rsidTr="00686B42">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686B42" w:rsidRPr="0088604F" w:rsidRDefault="00686B42">
            <w:pPr>
              <w:rPr>
                <w:rFonts w:ascii="Calibri" w:hAnsi="Calibri" w:cs="Calibri"/>
                <w:b w:val="0"/>
                <w:color w:val="244061" w:themeColor="accent1" w:themeShade="80"/>
              </w:rPr>
            </w:pPr>
            <w:r w:rsidRPr="0088604F">
              <w:rPr>
                <w:rFonts w:ascii="Calibri" w:hAnsi="Calibri" w:cs="Calibri"/>
                <w:b w:val="0"/>
                <w:color w:val="244061" w:themeColor="accent1" w:themeShade="80"/>
              </w:rPr>
              <w:t>Bonner</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20%</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50%</w:t>
            </w:r>
          </w:p>
        </w:tc>
        <w:tc>
          <w:tcPr>
            <w:tcW w:w="912"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20%</w:t>
            </w:r>
          </w:p>
        </w:tc>
        <w:tc>
          <w:tcPr>
            <w:tcW w:w="94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8</w:t>
            </w:r>
          </w:p>
        </w:tc>
        <w:tc>
          <w:tcPr>
            <w:tcW w:w="1275"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17</w:t>
            </w:r>
          </w:p>
        </w:tc>
      </w:tr>
      <w:tr w:rsidR="00686B42" w:rsidRPr="004D46A0" w:rsidTr="00686B42">
        <w:tc>
          <w:tcPr>
            <w:cnfStyle w:val="001000000000"/>
            <w:tcW w:w="1668" w:type="dxa"/>
            <w:tcBorders>
              <w:left w:val="single" w:sz="4" w:space="0" w:color="31849B" w:themeColor="accent5" w:themeShade="BF"/>
              <w:right w:val="single" w:sz="4" w:space="0" w:color="31849B" w:themeColor="accent5" w:themeShade="BF"/>
            </w:tcBorders>
            <w:vAlign w:val="bottom"/>
          </w:tcPr>
          <w:p w:rsidR="00686B42" w:rsidRPr="0088604F" w:rsidRDefault="00686B42">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Fyshwick</w:t>
            </w:r>
            <w:proofErr w:type="spellEnd"/>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10%</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41%</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33%</w:t>
            </w:r>
          </w:p>
        </w:tc>
        <w:tc>
          <w:tcPr>
            <w:tcW w:w="912"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16%</w:t>
            </w:r>
          </w:p>
        </w:tc>
        <w:tc>
          <w:tcPr>
            <w:tcW w:w="94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6</w:t>
            </w:r>
          </w:p>
        </w:tc>
        <w:tc>
          <w:tcPr>
            <w:tcW w:w="1276"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56</w:t>
            </w:r>
          </w:p>
        </w:tc>
        <w:tc>
          <w:tcPr>
            <w:tcW w:w="1275"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000000"/>
              <w:rPr>
                <w:rFonts w:ascii="Calibri" w:hAnsi="Calibri" w:cs="Calibri"/>
                <w:color w:val="000000"/>
              </w:rPr>
            </w:pPr>
            <w:r>
              <w:rPr>
                <w:rFonts w:ascii="Calibri" w:hAnsi="Calibri" w:cs="Calibri"/>
                <w:color w:val="000000"/>
              </w:rPr>
              <w:t>54</w:t>
            </w:r>
          </w:p>
        </w:tc>
      </w:tr>
      <w:tr w:rsidR="00686B42" w:rsidRPr="004D46A0" w:rsidTr="00686B42">
        <w:trPr>
          <w:cnfStyle w:val="000000100000"/>
        </w:trPr>
        <w:tc>
          <w:tcPr>
            <w:cnfStyle w:val="001000000000"/>
            <w:tcW w:w="1668" w:type="dxa"/>
            <w:tcBorders>
              <w:left w:val="single" w:sz="4" w:space="0" w:color="31849B" w:themeColor="accent5" w:themeShade="BF"/>
              <w:right w:val="single" w:sz="4" w:space="0" w:color="31849B" w:themeColor="accent5" w:themeShade="BF"/>
            </w:tcBorders>
            <w:vAlign w:val="bottom"/>
          </w:tcPr>
          <w:p w:rsidR="00686B42" w:rsidRPr="0088604F" w:rsidRDefault="00686B42">
            <w:pPr>
              <w:rPr>
                <w:rFonts w:ascii="Calibri" w:hAnsi="Calibri" w:cs="Calibri"/>
                <w:b w:val="0"/>
                <w:color w:val="244061" w:themeColor="accent1" w:themeShade="80"/>
              </w:rPr>
            </w:pPr>
            <w:proofErr w:type="spellStart"/>
            <w:r w:rsidRPr="0088604F">
              <w:rPr>
                <w:rFonts w:ascii="Calibri" w:hAnsi="Calibri" w:cs="Calibri"/>
                <w:b w:val="0"/>
                <w:color w:val="244061" w:themeColor="accent1" w:themeShade="80"/>
              </w:rPr>
              <w:t>Symonston</w:t>
            </w:r>
            <w:proofErr w:type="spellEnd"/>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9C0006"/>
              </w:rPr>
            </w:pPr>
            <w:r>
              <w:rPr>
                <w:rFonts w:ascii="Calibri" w:hAnsi="Calibri" w:cs="Calibri"/>
                <w:color w:val="9C0006"/>
              </w:rPr>
              <w:t>40%</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23%</w:t>
            </w:r>
          </w:p>
        </w:tc>
        <w:tc>
          <w:tcPr>
            <w:tcW w:w="91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23%</w:t>
            </w:r>
          </w:p>
        </w:tc>
        <w:tc>
          <w:tcPr>
            <w:tcW w:w="912"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14%</w:t>
            </w:r>
          </w:p>
        </w:tc>
        <w:tc>
          <w:tcPr>
            <w:tcW w:w="941"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1</w:t>
            </w:r>
          </w:p>
        </w:tc>
        <w:tc>
          <w:tcPr>
            <w:tcW w:w="1276"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343</w:t>
            </w:r>
          </w:p>
        </w:tc>
        <w:tc>
          <w:tcPr>
            <w:tcW w:w="1275" w:type="dxa"/>
            <w:tcBorders>
              <w:left w:val="single" w:sz="4" w:space="0" w:color="31849B" w:themeColor="accent5" w:themeShade="BF"/>
              <w:right w:val="single" w:sz="4" w:space="0" w:color="31849B" w:themeColor="accent5" w:themeShade="BF"/>
            </w:tcBorders>
            <w:vAlign w:val="bottom"/>
          </w:tcPr>
          <w:p w:rsidR="00686B42" w:rsidRDefault="00686B42" w:rsidP="00686B42">
            <w:pPr>
              <w:jc w:val="center"/>
              <w:cnfStyle w:val="000000100000"/>
              <w:rPr>
                <w:rFonts w:ascii="Calibri" w:hAnsi="Calibri" w:cs="Calibri"/>
                <w:color w:val="000000"/>
              </w:rPr>
            </w:pPr>
            <w:r>
              <w:rPr>
                <w:rFonts w:ascii="Calibri" w:hAnsi="Calibri" w:cs="Calibri"/>
                <w:color w:val="000000"/>
              </w:rPr>
              <w:t>469</w:t>
            </w:r>
          </w:p>
        </w:tc>
      </w:tr>
    </w:tbl>
    <w:p w:rsidR="003C49E9" w:rsidRDefault="003C49E9" w:rsidP="006840DF"/>
    <w:p w:rsidR="00E217F4" w:rsidRPr="00E217F4" w:rsidRDefault="00E217F4" w:rsidP="00E217F4">
      <w:pPr>
        <w:pStyle w:val="ListParagraph"/>
        <w:numPr>
          <w:ilvl w:val="0"/>
          <w:numId w:val="43"/>
        </w:numPr>
        <w:ind w:left="1134" w:hanging="1134"/>
        <w:rPr>
          <w:b/>
          <w:color w:val="244061" w:themeColor="accent1" w:themeShade="80"/>
        </w:rPr>
      </w:pPr>
      <w:r w:rsidRPr="00E217F4">
        <w:rPr>
          <w:b/>
          <w:color w:val="244061" w:themeColor="accent1" w:themeShade="80"/>
        </w:rPr>
        <w:t xml:space="preserve">Frequency table of SEIFI IRSD Groups by SEIFA IRSD </w:t>
      </w:r>
      <w:proofErr w:type="spellStart"/>
      <w:r w:rsidRPr="00E217F4">
        <w:rPr>
          <w:b/>
          <w:color w:val="244061" w:themeColor="accent1" w:themeShade="80"/>
        </w:rPr>
        <w:t>decile</w:t>
      </w:r>
      <w:proofErr w:type="spellEnd"/>
      <w:r w:rsidRPr="00E217F4">
        <w:rPr>
          <w:b/>
          <w:color w:val="244061" w:themeColor="accent1" w:themeShade="80"/>
        </w:rPr>
        <w:t xml:space="preserve"> score of collection district of residence (15-64 year old population)</w:t>
      </w:r>
    </w:p>
    <w:tbl>
      <w:tblPr>
        <w:tblStyle w:val="MediumList1-Accent5"/>
        <w:tblW w:w="0" w:type="auto"/>
        <w:tblLook w:val="05E0"/>
      </w:tblPr>
      <w:tblGrid>
        <w:gridCol w:w="790"/>
        <w:gridCol w:w="737"/>
        <w:gridCol w:w="738"/>
        <w:gridCol w:w="738"/>
        <w:gridCol w:w="738"/>
        <w:gridCol w:w="738"/>
        <w:gridCol w:w="831"/>
        <w:gridCol w:w="831"/>
        <w:gridCol w:w="831"/>
        <w:gridCol w:w="831"/>
        <w:gridCol w:w="823"/>
        <w:gridCol w:w="8"/>
        <w:gridCol w:w="942"/>
      </w:tblGrid>
      <w:tr w:rsidR="003C49E9" w:rsidTr="003C49E9">
        <w:trPr>
          <w:cnfStyle w:val="100000000000"/>
          <w:trHeight w:val="285"/>
        </w:trPr>
        <w:tc>
          <w:tcPr>
            <w:cnfStyle w:val="001000000000"/>
            <w:tcW w:w="790"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3C49E9" w:rsidRPr="002839E1" w:rsidRDefault="003C49E9" w:rsidP="003C49E9">
            <w:pPr>
              <w:rPr>
                <w:rFonts w:ascii="Calibri" w:hAnsi="Calibri" w:cs="Calibri"/>
                <w:color w:val="244061" w:themeColor="accent1" w:themeShade="80"/>
              </w:rPr>
            </w:pPr>
            <w:r w:rsidRPr="002839E1">
              <w:rPr>
                <w:rFonts w:ascii="Calibri" w:hAnsi="Calibri" w:cs="Calibri"/>
                <w:color w:val="244061" w:themeColor="accent1" w:themeShade="80"/>
              </w:rPr>
              <w:t xml:space="preserve">SEIFI </w:t>
            </w:r>
            <w:r w:rsidR="00410661" w:rsidRPr="00410661">
              <w:rPr>
                <w:rFonts w:ascii="Calibri" w:hAnsi="Calibri" w:cs="Calibri"/>
                <w:color w:val="244061" w:themeColor="accent1" w:themeShade="80"/>
              </w:rPr>
              <w:t xml:space="preserve">IRSD </w:t>
            </w:r>
            <w:r w:rsidRPr="002839E1">
              <w:rPr>
                <w:rFonts w:ascii="Calibri" w:hAnsi="Calibri" w:cs="Calibri"/>
                <w:color w:val="244061" w:themeColor="accent1" w:themeShade="80"/>
              </w:rPr>
              <w:t>Group</w:t>
            </w:r>
          </w:p>
        </w:tc>
        <w:tc>
          <w:tcPr>
            <w:tcW w:w="7836" w:type="dxa"/>
            <w:gridSpan w:val="10"/>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3C49E9" w:rsidRPr="002839E1" w:rsidRDefault="003C49E9" w:rsidP="003C49E9">
            <w:pPr>
              <w:spacing w:after="120"/>
              <w:jc w:val="center"/>
              <w:cnfStyle w:val="100000000000"/>
              <w:rPr>
                <w:rFonts w:ascii="Calibri" w:hAnsi="Calibri" w:cs="Calibri"/>
                <w:b/>
                <w:color w:val="244061" w:themeColor="accent1" w:themeShade="80"/>
              </w:rPr>
            </w:pPr>
            <w:r w:rsidRPr="002839E1">
              <w:rPr>
                <w:rFonts w:ascii="Calibri" w:hAnsi="Calibri" w:cs="Calibri"/>
                <w:b/>
                <w:color w:val="244061" w:themeColor="accent1" w:themeShade="80"/>
              </w:rPr>
              <w:t xml:space="preserve">SEIFA </w:t>
            </w:r>
            <w:r w:rsidR="00410661" w:rsidRPr="00410661">
              <w:rPr>
                <w:rFonts w:ascii="Calibri" w:hAnsi="Calibri" w:cs="Calibri"/>
                <w:b/>
                <w:color w:val="244061" w:themeColor="accent1" w:themeShade="80"/>
              </w:rPr>
              <w:t xml:space="preserve">IRSD </w:t>
            </w:r>
            <w:proofErr w:type="spellStart"/>
            <w:r w:rsidRPr="002839E1">
              <w:rPr>
                <w:rFonts w:ascii="Calibri" w:hAnsi="Calibri" w:cs="Calibri"/>
                <w:b/>
                <w:color w:val="244061" w:themeColor="accent1" w:themeShade="80"/>
              </w:rPr>
              <w:t>Decile</w:t>
            </w:r>
            <w:proofErr w:type="spellEnd"/>
          </w:p>
        </w:tc>
        <w:tc>
          <w:tcPr>
            <w:cnfStyle w:val="000100000000"/>
            <w:tcW w:w="950"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3C49E9" w:rsidRPr="002839E1" w:rsidRDefault="003C49E9" w:rsidP="003C49E9">
            <w:pPr>
              <w:spacing w:after="120"/>
              <w:jc w:val="center"/>
              <w:rPr>
                <w:rFonts w:ascii="Calibri" w:hAnsi="Calibri" w:cs="Calibri"/>
                <w:b w:val="0"/>
                <w:bCs w:val="0"/>
                <w:color w:val="244061" w:themeColor="accent1" w:themeShade="80"/>
              </w:rPr>
            </w:pPr>
          </w:p>
        </w:tc>
      </w:tr>
      <w:tr w:rsidR="003C49E9" w:rsidTr="003C49E9">
        <w:trPr>
          <w:cnfStyle w:val="000000100000"/>
          <w:trHeight w:val="251"/>
        </w:trPr>
        <w:tc>
          <w:tcPr>
            <w:cnfStyle w:val="001000000000"/>
            <w:tcW w:w="790"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3C49E9" w:rsidRPr="002839E1" w:rsidRDefault="003C49E9" w:rsidP="003C49E9">
            <w:pPr>
              <w:rPr>
                <w:rFonts w:ascii="Calibri" w:hAnsi="Calibri" w:cs="Calibri"/>
                <w:color w:val="244061" w:themeColor="accent1" w:themeShade="80"/>
              </w:rPr>
            </w:pPr>
          </w:p>
        </w:tc>
        <w:tc>
          <w:tcPr>
            <w:tcW w:w="737" w:type="dxa"/>
            <w:tcBorders>
              <w:top w:val="single" w:sz="4" w:space="0" w:color="31849B" w:themeColor="accent5" w:themeShade="BF"/>
              <w:left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1</w:t>
            </w:r>
          </w:p>
        </w:tc>
        <w:tc>
          <w:tcPr>
            <w:tcW w:w="738"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2</w:t>
            </w:r>
          </w:p>
        </w:tc>
        <w:tc>
          <w:tcPr>
            <w:tcW w:w="738"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3</w:t>
            </w:r>
          </w:p>
        </w:tc>
        <w:tc>
          <w:tcPr>
            <w:tcW w:w="738"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4</w:t>
            </w:r>
          </w:p>
        </w:tc>
        <w:tc>
          <w:tcPr>
            <w:tcW w:w="738"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5</w:t>
            </w:r>
          </w:p>
        </w:tc>
        <w:tc>
          <w:tcPr>
            <w:tcW w:w="831"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6</w:t>
            </w:r>
          </w:p>
        </w:tc>
        <w:tc>
          <w:tcPr>
            <w:tcW w:w="831"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7</w:t>
            </w:r>
          </w:p>
        </w:tc>
        <w:tc>
          <w:tcPr>
            <w:tcW w:w="831"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8</w:t>
            </w:r>
          </w:p>
        </w:tc>
        <w:tc>
          <w:tcPr>
            <w:tcW w:w="831" w:type="dxa"/>
            <w:tcBorders>
              <w:top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9</w:t>
            </w:r>
          </w:p>
        </w:tc>
        <w:tc>
          <w:tcPr>
            <w:tcW w:w="831" w:type="dxa"/>
            <w:gridSpan w:val="2"/>
            <w:tcBorders>
              <w:top w:val="single" w:sz="4" w:space="0" w:color="31849B" w:themeColor="accent5" w:themeShade="BF"/>
              <w:bottom w:val="single" w:sz="4" w:space="0" w:color="31849B" w:themeColor="accent5" w:themeShade="BF"/>
              <w:right w:val="single" w:sz="4" w:space="0" w:color="31849B" w:themeColor="accent5" w:themeShade="BF"/>
            </w:tcBorders>
            <w:vAlign w:val="bottom"/>
          </w:tcPr>
          <w:p w:rsidR="003C49E9" w:rsidRPr="002839E1" w:rsidRDefault="003C49E9" w:rsidP="003C49E9">
            <w:pPr>
              <w:jc w:val="center"/>
              <w:cnfStyle w:val="000000100000"/>
              <w:rPr>
                <w:rFonts w:ascii="Calibri" w:hAnsi="Calibri" w:cs="Calibri"/>
                <w:b/>
                <w:color w:val="244061" w:themeColor="accent1" w:themeShade="80"/>
              </w:rPr>
            </w:pPr>
            <w:r w:rsidRPr="002839E1">
              <w:rPr>
                <w:rFonts w:ascii="Calibri" w:hAnsi="Calibri" w:cs="Calibri"/>
                <w:b/>
                <w:color w:val="244061" w:themeColor="accent1" w:themeShade="80"/>
              </w:rPr>
              <w:t>10</w:t>
            </w:r>
          </w:p>
        </w:tc>
        <w:tc>
          <w:tcPr>
            <w:cnfStyle w:val="000100000000"/>
            <w:tcW w:w="9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3C49E9" w:rsidRPr="002839E1" w:rsidRDefault="003C49E9" w:rsidP="003C49E9">
            <w:pPr>
              <w:jc w:val="center"/>
              <w:rPr>
                <w:rFonts w:ascii="Calibri" w:hAnsi="Calibri" w:cs="Calibri"/>
                <w:b w:val="0"/>
                <w:color w:val="244061" w:themeColor="accent1" w:themeShade="80"/>
              </w:rPr>
            </w:pPr>
            <w:r w:rsidRPr="002839E1">
              <w:rPr>
                <w:rFonts w:ascii="Calibri" w:hAnsi="Calibri" w:cs="Calibri"/>
                <w:b w:val="0"/>
                <w:color w:val="244061" w:themeColor="accent1" w:themeShade="80"/>
              </w:rPr>
              <w:t>Total</w:t>
            </w:r>
          </w:p>
        </w:tc>
      </w:tr>
      <w:tr w:rsidR="003C49E9" w:rsidTr="003C49E9">
        <w:tc>
          <w:tcPr>
            <w:cnfStyle w:val="001000000000"/>
            <w:tcW w:w="790" w:type="dxa"/>
            <w:tcBorders>
              <w:top w:val="single" w:sz="4" w:space="0" w:color="31849B" w:themeColor="accent5" w:themeShade="BF"/>
              <w:left w:val="single" w:sz="4" w:space="0" w:color="31849B" w:themeColor="accent5" w:themeShade="BF"/>
              <w:right w:val="single" w:sz="4" w:space="0" w:color="31849B" w:themeColor="accent5" w:themeShade="BF"/>
            </w:tcBorders>
          </w:tcPr>
          <w:p w:rsidR="003C49E9" w:rsidRPr="002839E1" w:rsidRDefault="003C49E9" w:rsidP="003C49E9">
            <w:pPr>
              <w:jc w:val="right"/>
              <w:rPr>
                <w:rFonts w:ascii="Calibri" w:hAnsi="Calibri" w:cs="Calibri"/>
                <w:color w:val="244061" w:themeColor="accent1" w:themeShade="80"/>
              </w:rPr>
            </w:pPr>
            <w:r w:rsidRPr="002839E1">
              <w:rPr>
                <w:rFonts w:ascii="Calibri" w:hAnsi="Calibri" w:cs="Calibri"/>
                <w:color w:val="244061" w:themeColor="accent1" w:themeShade="80"/>
              </w:rPr>
              <w:t>1</w:t>
            </w:r>
          </w:p>
        </w:tc>
        <w:tc>
          <w:tcPr>
            <w:tcW w:w="737" w:type="dxa"/>
            <w:tcBorders>
              <w:top w:val="single" w:sz="4" w:space="0" w:color="31849B" w:themeColor="accent5" w:themeShade="BF"/>
              <w:left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944</w:t>
            </w:r>
          </w:p>
        </w:tc>
        <w:tc>
          <w:tcPr>
            <w:tcW w:w="738"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783</w:t>
            </w:r>
          </w:p>
        </w:tc>
        <w:tc>
          <w:tcPr>
            <w:tcW w:w="738"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1,074</w:t>
            </w:r>
          </w:p>
        </w:tc>
        <w:tc>
          <w:tcPr>
            <w:tcW w:w="738"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2,183</w:t>
            </w:r>
          </w:p>
        </w:tc>
        <w:tc>
          <w:tcPr>
            <w:tcW w:w="738"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1,851</w:t>
            </w:r>
          </w:p>
        </w:tc>
        <w:tc>
          <w:tcPr>
            <w:tcW w:w="831"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4,052</w:t>
            </w:r>
          </w:p>
        </w:tc>
        <w:tc>
          <w:tcPr>
            <w:tcW w:w="831"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5,026</w:t>
            </w:r>
          </w:p>
        </w:tc>
        <w:tc>
          <w:tcPr>
            <w:tcW w:w="831"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5,479</w:t>
            </w:r>
          </w:p>
        </w:tc>
        <w:tc>
          <w:tcPr>
            <w:tcW w:w="831" w:type="dxa"/>
            <w:tcBorders>
              <w:top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4,115</w:t>
            </w:r>
          </w:p>
        </w:tc>
        <w:tc>
          <w:tcPr>
            <w:tcW w:w="831" w:type="dxa"/>
            <w:gridSpan w:val="2"/>
            <w:tcBorders>
              <w:top w:val="single" w:sz="4" w:space="0" w:color="31849B" w:themeColor="accent5" w:themeShade="BF"/>
              <w:right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3,132</w:t>
            </w:r>
          </w:p>
        </w:tc>
        <w:tc>
          <w:tcPr>
            <w:cnfStyle w:val="000100000000"/>
            <w:tcW w:w="942"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3C49E9" w:rsidRPr="002839E1" w:rsidRDefault="003C49E9" w:rsidP="003C49E9">
            <w:pPr>
              <w:jc w:val="center"/>
              <w:rPr>
                <w:rFonts w:ascii="Calibri" w:hAnsi="Calibri" w:cs="Calibri"/>
                <w:b w:val="0"/>
                <w:color w:val="244061" w:themeColor="accent1" w:themeShade="80"/>
              </w:rPr>
            </w:pPr>
            <w:r w:rsidRPr="002839E1">
              <w:rPr>
                <w:rFonts w:ascii="Calibri" w:hAnsi="Calibri" w:cs="Calibri"/>
                <w:b w:val="0"/>
                <w:color w:val="244061" w:themeColor="accent1" w:themeShade="80"/>
              </w:rPr>
              <w:t>28,639</w:t>
            </w:r>
          </w:p>
        </w:tc>
      </w:tr>
      <w:tr w:rsidR="003C49E9" w:rsidTr="003C49E9">
        <w:trPr>
          <w:cnfStyle w:val="000000100000"/>
        </w:trPr>
        <w:tc>
          <w:tcPr>
            <w:cnfStyle w:val="001000000000"/>
            <w:tcW w:w="790" w:type="dxa"/>
            <w:tcBorders>
              <w:left w:val="single" w:sz="4" w:space="0" w:color="31849B" w:themeColor="accent5" w:themeShade="BF"/>
              <w:right w:val="single" w:sz="4" w:space="0" w:color="31849B" w:themeColor="accent5" w:themeShade="BF"/>
            </w:tcBorders>
          </w:tcPr>
          <w:p w:rsidR="003C49E9" w:rsidRPr="002839E1" w:rsidRDefault="003C49E9" w:rsidP="003C49E9">
            <w:pPr>
              <w:jc w:val="right"/>
              <w:rPr>
                <w:rFonts w:ascii="Calibri" w:hAnsi="Calibri" w:cs="Calibri"/>
                <w:color w:val="244061" w:themeColor="accent1" w:themeShade="80"/>
              </w:rPr>
            </w:pPr>
            <w:r w:rsidRPr="002839E1">
              <w:rPr>
                <w:rFonts w:ascii="Calibri" w:hAnsi="Calibri" w:cs="Calibri"/>
                <w:color w:val="244061" w:themeColor="accent1" w:themeShade="80"/>
              </w:rPr>
              <w:t>2</w:t>
            </w:r>
          </w:p>
        </w:tc>
        <w:tc>
          <w:tcPr>
            <w:tcW w:w="737" w:type="dxa"/>
            <w:tcBorders>
              <w:left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175</w:t>
            </w:r>
          </w:p>
        </w:tc>
        <w:tc>
          <w:tcPr>
            <w:tcW w:w="738"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197</w:t>
            </w:r>
          </w:p>
        </w:tc>
        <w:tc>
          <w:tcPr>
            <w:tcW w:w="738"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423</w:t>
            </w:r>
          </w:p>
        </w:tc>
        <w:tc>
          <w:tcPr>
            <w:tcW w:w="738"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1,108</w:t>
            </w:r>
          </w:p>
        </w:tc>
        <w:tc>
          <w:tcPr>
            <w:tcW w:w="738"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1,092</w:t>
            </w:r>
          </w:p>
        </w:tc>
        <w:tc>
          <w:tcPr>
            <w:tcW w:w="831"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2,953</w:t>
            </w:r>
          </w:p>
        </w:tc>
        <w:tc>
          <w:tcPr>
            <w:tcW w:w="831"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4,184</w:t>
            </w:r>
          </w:p>
        </w:tc>
        <w:tc>
          <w:tcPr>
            <w:tcW w:w="831"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5,318</w:t>
            </w:r>
          </w:p>
        </w:tc>
        <w:tc>
          <w:tcPr>
            <w:tcW w:w="831" w:type="dxa"/>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5,273</w:t>
            </w:r>
          </w:p>
        </w:tc>
        <w:tc>
          <w:tcPr>
            <w:tcW w:w="831" w:type="dxa"/>
            <w:gridSpan w:val="2"/>
            <w:tcBorders>
              <w:right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5,277</w:t>
            </w:r>
          </w:p>
        </w:tc>
        <w:tc>
          <w:tcPr>
            <w:cnfStyle w:val="000100000000"/>
            <w:tcW w:w="942" w:type="dxa"/>
            <w:tcBorders>
              <w:left w:val="single" w:sz="4" w:space="0" w:color="31849B" w:themeColor="accent5" w:themeShade="BF"/>
              <w:right w:val="single" w:sz="4" w:space="0" w:color="31849B" w:themeColor="accent5" w:themeShade="BF"/>
            </w:tcBorders>
            <w:vAlign w:val="bottom"/>
          </w:tcPr>
          <w:p w:rsidR="003C49E9" w:rsidRPr="002839E1" w:rsidRDefault="003C49E9" w:rsidP="003C49E9">
            <w:pPr>
              <w:jc w:val="center"/>
              <w:rPr>
                <w:rFonts w:ascii="Calibri" w:hAnsi="Calibri" w:cs="Calibri"/>
                <w:b w:val="0"/>
                <w:color w:val="244061" w:themeColor="accent1" w:themeShade="80"/>
              </w:rPr>
            </w:pPr>
            <w:r w:rsidRPr="002839E1">
              <w:rPr>
                <w:rFonts w:ascii="Calibri" w:hAnsi="Calibri" w:cs="Calibri"/>
                <w:b w:val="0"/>
                <w:color w:val="244061" w:themeColor="accent1" w:themeShade="80"/>
              </w:rPr>
              <w:t>26,001</w:t>
            </w:r>
          </w:p>
        </w:tc>
      </w:tr>
      <w:tr w:rsidR="003C49E9" w:rsidTr="003C49E9">
        <w:tc>
          <w:tcPr>
            <w:cnfStyle w:val="001000000000"/>
            <w:tcW w:w="790" w:type="dxa"/>
            <w:tcBorders>
              <w:left w:val="single" w:sz="4" w:space="0" w:color="31849B" w:themeColor="accent5" w:themeShade="BF"/>
              <w:right w:val="single" w:sz="4" w:space="0" w:color="31849B" w:themeColor="accent5" w:themeShade="BF"/>
            </w:tcBorders>
          </w:tcPr>
          <w:p w:rsidR="003C49E9" w:rsidRPr="002839E1" w:rsidRDefault="003C49E9" w:rsidP="003C49E9">
            <w:pPr>
              <w:jc w:val="right"/>
              <w:rPr>
                <w:rFonts w:ascii="Calibri" w:hAnsi="Calibri" w:cs="Calibri"/>
                <w:color w:val="244061" w:themeColor="accent1" w:themeShade="80"/>
              </w:rPr>
            </w:pPr>
            <w:r w:rsidRPr="002839E1">
              <w:rPr>
                <w:rFonts w:ascii="Calibri" w:hAnsi="Calibri" w:cs="Calibri"/>
                <w:color w:val="244061" w:themeColor="accent1" w:themeShade="80"/>
              </w:rPr>
              <w:t>3</w:t>
            </w:r>
          </w:p>
        </w:tc>
        <w:tc>
          <w:tcPr>
            <w:tcW w:w="737" w:type="dxa"/>
            <w:tcBorders>
              <w:left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483</w:t>
            </w:r>
          </w:p>
        </w:tc>
        <w:tc>
          <w:tcPr>
            <w:tcW w:w="738"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496</w:t>
            </w:r>
          </w:p>
        </w:tc>
        <w:tc>
          <w:tcPr>
            <w:tcW w:w="738"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1,052</w:t>
            </w:r>
          </w:p>
        </w:tc>
        <w:tc>
          <w:tcPr>
            <w:tcW w:w="738"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2,572</w:t>
            </w:r>
          </w:p>
        </w:tc>
        <w:tc>
          <w:tcPr>
            <w:tcW w:w="738"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2,666</w:t>
            </w:r>
          </w:p>
        </w:tc>
        <w:tc>
          <w:tcPr>
            <w:tcW w:w="831"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6,640</w:t>
            </w:r>
          </w:p>
        </w:tc>
        <w:tc>
          <w:tcPr>
            <w:tcW w:w="831"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10,491</w:t>
            </w:r>
          </w:p>
        </w:tc>
        <w:tc>
          <w:tcPr>
            <w:tcW w:w="831"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14,410</w:t>
            </w:r>
          </w:p>
        </w:tc>
        <w:tc>
          <w:tcPr>
            <w:tcW w:w="831" w:type="dxa"/>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15,196</w:t>
            </w:r>
          </w:p>
        </w:tc>
        <w:tc>
          <w:tcPr>
            <w:tcW w:w="831" w:type="dxa"/>
            <w:gridSpan w:val="2"/>
            <w:tcBorders>
              <w:right w:val="single" w:sz="4" w:space="0" w:color="31849B" w:themeColor="accent5" w:themeShade="BF"/>
            </w:tcBorders>
            <w:vAlign w:val="bottom"/>
          </w:tcPr>
          <w:p w:rsidR="003C49E9" w:rsidRPr="002839E1" w:rsidRDefault="003C49E9" w:rsidP="003C49E9">
            <w:pPr>
              <w:jc w:val="center"/>
              <w:cnfStyle w:val="000000000000"/>
              <w:rPr>
                <w:rFonts w:ascii="Calibri" w:hAnsi="Calibri" w:cs="Calibri"/>
                <w:color w:val="244061" w:themeColor="accent1" w:themeShade="80"/>
              </w:rPr>
            </w:pPr>
            <w:r w:rsidRPr="002839E1">
              <w:rPr>
                <w:rFonts w:ascii="Calibri" w:hAnsi="Calibri" w:cs="Calibri"/>
                <w:color w:val="244061" w:themeColor="accent1" w:themeShade="80"/>
              </w:rPr>
              <w:t>20,462</w:t>
            </w:r>
          </w:p>
        </w:tc>
        <w:tc>
          <w:tcPr>
            <w:cnfStyle w:val="000100000000"/>
            <w:tcW w:w="942" w:type="dxa"/>
            <w:tcBorders>
              <w:left w:val="single" w:sz="4" w:space="0" w:color="31849B" w:themeColor="accent5" w:themeShade="BF"/>
              <w:right w:val="single" w:sz="4" w:space="0" w:color="31849B" w:themeColor="accent5" w:themeShade="BF"/>
            </w:tcBorders>
            <w:vAlign w:val="bottom"/>
          </w:tcPr>
          <w:p w:rsidR="003C49E9" w:rsidRPr="002839E1" w:rsidRDefault="003C49E9" w:rsidP="003C49E9">
            <w:pPr>
              <w:jc w:val="center"/>
              <w:rPr>
                <w:rFonts w:ascii="Calibri" w:hAnsi="Calibri" w:cs="Calibri"/>
                <w:b w:val="0"/>
                <w:color w:val="244061" w:themeColor="accent1" w:themeShade="80"/>
              </w:rPr>
            </w:pPr>
            <w:r w:rsidRPr="002839E1">
              <w:rPr>
                <w:rFonts w:ascii="Calibri" w:hAnsi="Calibri" w:cs="Calibri"/>
                <w:b w:val="0"/>
                <w:color w:val="244061" w:themeColor="accent1" w:themeShade="80"/>
              </w:rPr>
              <w:t>74,467</w:t>
            </w:r>
          </w:p>
        </w:tc>
      </w:tr>
      <w:tr w:rsidR="003C49E9" w:rsidTr="003C49E9">
        <w:trPr>
          <w:cnfStyle w:val="000000100000"/>
        </w:trPr>
        <w:tc>
          <w:tcPr>
            <w:cnfStyle w:val="001000000000"/>
            <w:tcW w:w="790" w:type="dxa"/>
            <w:tcBorders>
              <w:left w:val="single" w:sz="4" w:space="0" w:color="31849B" w:themeColor="accent5" w:themeShade="BF"/>
              <w:bottom w:val="single" w:sz="4" w:space="0" w:color="31849B" w:themeColor="accent5" w:themeShade="BF"/>
              <w:right w:val="single" w:sz="4" w:space="0" w:color="31849B" w:themeColor="accent5" w:themeShade="BF"/>
            </w:tcBorders>
          </w:tcPr>
          <w:p w:rsidR="003C49E9" w:rsidRPr="002839E1" w:rsidRDefault="003C49E9" w:rsidP="003C49E9">
            <w:pPr>
              <w:jc w:val="right"/>
              <w:rPr>
                <w:rFonts w:ascii="Calibri" w:hAnsi="Calibri" w:cs="Calibri"/>
                <w:color w:val="244061" w:themeColor="accent1" w:themeShade="80"/>
              </w:rPr>
            </w:pPr>
            <w:r w:rsidRPr="002839E1">
              <w:rPr>
                <w:rFonts w:ascii="Calibri" w:hAnsi="Calibri" w:cs="Calibri"/>
                <w:color w:val="244061" w:themeColor="accent1" w:themeShade="80"/>
              </w:rPr>
              <w:t>4</w:t>
            </w:r>
          </w:p>
        </w:tc>
        <w:tc>
          <w:tcPr>
            <w:tcW w:w="737" w:type="dxa"/>
            <w:tcBorders>
              <w:left w:val="single" w:sz="4" w:space="0" w:color="31849B" w:themeColor="accent5" w:themeShade="BF"/>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632</w:t>
            </w:r>
          </w:p>
        </w:tc>
        <w:tc>
          <w:tcPr>
            <w:tcW w:w="738"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835</w:t>
            </w:r>
          </w:p>
        </w:tc>
        <w:tc>
          <w:tcPr>
            <w:tcW w:w="738"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1,414</w:t>
            </w:r>
          </w:p>
        </w:tc>
        <w:tc>
          <w:tcPr>
            <w:tcW w:w="738"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3,237</w:t>
            </w:r>
          </w:p>
        </w:tc>
        <w:tc>
          <w:tcPr>
            <w:tcW w:w="738"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3,259</w:t>
            </w:r>
          </w:p>
        </w:tc>
        <w:tc>
          <w:tcPr>
            <w:tcW w:w="831"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7,661</w:t>
            </w:r>
          </w:p>
        </w:tc>
        <w:tc>
          <w:tcPr>
            <w:tcW w:w="831"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12,798</w:t>
            </w:r>
          </w:p>
        </w:tc>
        <w:tc>
          <w:tcPr>
            <w:tcW w:w="831"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17,764</w:t>
            </w:r>
          </w:p>
        </w:tc>
        <w:tc>
          <w:tcPr>
            <w:tcW w:w="831" w:type="dxa"/>
            <w:tcBorders>
              <w:bottom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19,484</w:t>
            </w:r>
          </w:p>
        </w:tc>
        <w:tc>
          <w:tcPr>
            <w:tcW w:w="831" w:type="dxa"/>
            <w:gridSpan w:val="2"/>
            <w:tcBorders>
              <w:bottom w:val="single" w:sz="4" w:space="0" w:color="31849B" w:themeColor="accent5" w:themeShade="BF"/>
              <w:right w:val="single" w:sz="4" w:space="0" w:color="31849B" w:themeColor="accent5" w:themeShade="BF"/>
            </w:tcBorders>
            <w:vAlign w:val="bottom"/>
          </w:tcPr>
          <w:p w:rsidR="003C49E9" w:rsidRPr="002839E1" w:rsidRDefault="003C49E9" w:rsidP="003C49E9">
            <w:pPr>
              <w:jc w:val="center"/>
              <w:cnfStyle w:val="000000100000"/>
              <w:rPr>
                <w:rFonts w:ascii="Calibri" w:hAnsi="Calibri" w:cs="Calibri"/>
                <w:color w:val="244061" w:themeColor="accent1" w:themeShade="80"/>
              </w:rPr>
            </w:pPr>
            <w:r w:rsidRPr="002839E1">
              <w:rPr>
                <w:rFonts w:ascii="Calibri" w:hAnsi="Calibri" w:cs="Calibri"/>
                <w:color w:val="244061" w:themeColor="accent1" w:themeShade="80"/>
              </w:rPr>
              <w:t>31,178</w:t>
            </w:r>
          </w:p>
        </w:tc>
        <w:tc>
          <w:tcPr>
            <w:cnfStyle w:val="000100000000"/>
            <w:tcW w:w="942" w:type="dxa"/>
            <w:tcBorders>
              <w:left w:val="single" w:sz="4" w:space="0" w:color="31849B" w:themeColor="accent5" w:themeShade="BF"/>
              <w:bottom w:val="single" w:sz="4" w:space="0" w:color="31849B" w:themeColor="accent5" w:themeShade="BF"/>
              <w:right w:val="single" w:sz="4" w:space="0" w:color="31849B" w:themeColor="accent5" w:themeShade="BF"/>
            </w:tcBorders>
            <w:vAlign w:val="bottom"/>
          </w:tcPr>
          <w:p w:rsidR="003C49E9" w:rsidRPr="002839E1" w:rsidRDefault="003C49E9" w:rsidP="003C49E9">
            <w:pPr>
              <w:jc w:val="center"/>
              <w:rPr>
                <w:rFonts w:ascii="Calibri" w:hAnsi="Calibri" w:cs="Calibri"/>
                <w:b w:val="0"/>
                <w:color w:val="244061" w:themeColor="accent1" w:themeShade="80"/>
              </w:rPr>
            </w:pPr>
            <w:r w:rsidRPr="002839E1">
              <w:rPr>
                <w:rFonts w:ascii="Calibri" w:hAnsi="Calibri" w:cs="Calibri"/>
                <w:b w:val="0"/>
                <w:color w:val="244061" w:themeColor="accent1" w:themeShade="80"/>
              </w:rPr>
              <w:t>98,262</w:t>
            </w:r>
          </w:p>
        </w:tc>
      </w:tr>
      <w:tr w:rsidR="003C49E9" w:rsidTr="003C49E9">
        <w:trPr>
          <w:cnfStyle w:val="010000000000"/>
        </w:trPr>
        <w:tc>
          <w:tcPr>
            <w:cnfStyle w:val="001000000000"/>
            <w:tcW w:w="790" w:type="dxa"/>
            <w:tcBorders>
              <w:top w:val="single" w:sz="4" w:space="0" w:color="31849B" w:themeColor="accent5" w:themeShade="BF"/>
              <w:left w:val="single" w:sz="4" w:space="0" w:color="31849B" w:themeColor="accent5" w:themeShade="BF"/>
              <w:right w:val="single" w:sz="4" w:space="0" w:color="31849B" w:themeColor="accent5" w:themeShade="BF"/>
            </w:tcBorders>
          </w:tcPr>
          <w:p w:rsidR="003C49E9" w:rsidRPr="002839E1" w:rsidRDefault="003C49E9" w:rsidP="003C49E9">
            <w:pPr>
              <w:rPr>
                <w:rFonts w:ascii="Calibri" w:hAnsi="Calibri" w:cs="Calibri"/>
                <w:b w:val="0"/>
                <w:color w:val="244061" w:themeColor="accent1" w:themeShade="80"/>
              </w:rPr>
            </w:pPr>
            <w:r w:rsidRPr="002839E1">
              <w:rPr>
                <w:rFonts w:ascii="Calibri" w:hAnsi="Calibri" w:cs="Calibri"/>
                <w:b w:val="0"/>
                <w:color w:val="244061" w:themeColor="accent1" w:themeShade="80"/>
              </w:rPr>
              <w:t>Total</w:t>
            </w:r>
          </w:p>
        </w:tc>
        <w:tc>
          <w:tcPr>
            <w:tcW w:w="737" w:type="dxa"/>
            <w:tcBorders>
              <w:top w:val="single" w:sz="4" w:space="0" w:color="31849B" w:themeColor="accent5" w:themeShade="BF"/>
              <w:left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2,234</w:t>
            </w:r>
          </w:p>
        </w:tc>
        <w:tc>
          <w:tcPr>
            <w:tcW w:w="738"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2,311</w:t>
            </w:r>
          </w:p>
        </w:tc>
        <w:tc>
          <w:tcPr>
            <w:tcW w:w="738"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3,962</w:t>
            </w:r>
          </w:p>
        </w:tc>
        <w:tc>
          <w:tcPr>
            <w:tcW w:w="738"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9,100</w:t>
            </w:r>
          </w:p>
        </w:tc>
        <w:tc>
          <w:tcPr>
            <w:tcW w:w="738"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8,868</w:t>
            </w:r>
          </w:p>
        </w:tc>
        <w:tc>
          <w:tcPr>
            <w:tcW w:w="831"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21,306</w:t>
            </w:r>
          </w:p>
        </w:tc>
        <w:tc>
          <w:tcPr>
            <w:tcW w:w="831"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32,500</w:t>
            </w:r>
          </w:p>
        </w:tc>
        <w:tc>
          <w:tcPr>
            <w:tcW w:w="831"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42,971</w:t>
            </w:r>
          </w:p>
        </w:tc>
        <w:tc>
          <w:tcPr>
            <w:tcW w:w="831" w:type="dxa"/>
            <w:tcBorders>
              <w:top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44,068</w:t>
            </w:r>
          </w:p>
        </w:tc>
        <w:tc>
          <w:tcPr>
            <w:tcW w:w="831" w:type="dxa"/>
            <w:gridSpan w:val="2"/>
            <w:tcBorders>
              <w:top w:val="single" w:sz="4" w:space="0" w:color="31849B" w:themeColor="accent5" w:themeShade="BF"/>
              <w:right w:val="single" w:sz="4" w:space="0" w:color="31849B" w:themeColor="accent5" w:themeShade="BF"/>
            </w:tcBorders>
            <w:vAlign w:val="bottom"/>
          </w:tcPr>
          <w:p w:rsidR="003C49E9" w:rsidRPr="002839E1" w:rsidRDefault="003C49E9" w:rsidP="003C49E9">
            <w:pPr>
              <w:jc w:val="center"/>
              <w:cnfStyle w:val="010000000000"/>
              <w:rPr>
                <w:rFonts w:ascii="Calibri" w:hAnsi="Calibri" w:cs="Calibri"/>
                <w:b w:val="0"/>
                <w:color w:val="244061" w:themeColor="accent1" w:themeShade="80"/>
              </w:rPr>
            </w:pPr>
            <w:r w:rsidRPr="002839E1">
              <w:rPr>
                <w:rFonts w:ascii="Calibri" w:hAnsi="Calibri" w:cs="Calibri"/>
                <w:b w:val="0"/>
                <w:color w:val="244061" w:themeColor="accent1" w:themeShade="80"/>
              </w:rPr>
              <w:t>60,049</w:t>
            </w:r>
          </w:p>
        </w:tc>
        <w:tc>
          <w:tcPr>
            <w:cnfStyle w:val="000100000000"/>
            <w:tcW w:w="942"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3C49E9" w:rsidRPr="002839E1" w:rsidRDefault="003C49E9" w:rsidP="003C49E9">
            <w:pPr>
              <w:jc w:val="center"/>
              <w:rPr>
                <w:rFonts w:ascii="Calibri" w:hAnsi="Calibri" w:cs="Calibri"/>
                <w:b w:val="0"/>
                <w:color w:val="244061" w:themeColor="accent1" w:themeShade="80"/>
              </w:rPr>
            </w:pPr>
            <w:r w:rsidRPr="002839E1">
              <w:rPr>
                <w:rFonts w:ascii="Calibri" w:hAnsi="Calibri" w:cs="Calibri"/>
                <w:b w:val="0"/>
                <w:color w:val="244061" w:themeColor="accent1" w:themeShade="80"/>
              </w:rPr>
              <w:t>227,369</w:t>
            </w:r>
          </w:p>
        </w:tc>
      </w:tr>
    </w:tbl>
    <w:p w:rsidR="003C49E9" w:rsidRDefault="003C49E9" w:rsidP="003C49E9">
      <w:pPr>
        <w:rPr>
          <w:b/>
          <w:color w:val="244061" w:themeColor="accent1" w:themeShade="80"/>
        </w:rPr>
      </w:pPr>
    </w:p>
    <w:p w:rsidR="002B3DBA" w:rsidRDefault="002B3DBA" w:rsidP="00F03282">
      <w:pPr>
        <w:pStyle w:val="ListParagraph"/>
        <w:numPr>
          <w:ilvl w:val="0"/>
          <w:numId w:val="43"/>
        </w:numPr>
        <w:ind w:left="1134" w:hanging="1134"/>
        <w:rPr>
          <w:b/>
          <w:color w:val="244061" w:themeColor="accent1" w:themeShade="80"/>
        </w:rPr>
      </w:pPr>
      <w:r>
        <w:rPr>
          <w:b/>
          <w:color w:val="244061" w:themeColor="accent1" w:themeShade="80"/>
        </w:rPr>
        <w:t xml:space="preserve">ACT CDs with ‘diverse’ populations aged 15-64 (&gt;19.37% in Group 1 SEIFI </w:t>
      </w:r>
      <w:r w:rsidR="00410661">
        <w:rPr>
          <w:b/>
          <w:color w:val="244061" w:themeColor="accent1" w:themeShade="80"/>
        </w:rPr>
        <w:t xml:space="preserve">IRSD </w:t>
      </w:r>
      <w:r>
        <w:rPr>
          <w:b/>
          <w:color w:val="244061" w:themeColor="accent1" w:themeShade="80"/>
        </w:rPr>
        <w:t>and &gt;30.03% in Group 4 SEIFI</w:t>
      </w:r>
      <w:r w:rsidR="00410661" w:rsidRPr="00410661">
        <w:rPr>
          <w:b/>
          <w:color w:val="244061" w:themeColor="accent1" w:themeShade="80"/>
        </w:rPr>
        <w:t xml:space="preserve"> </w:t>
      </w:r>
      <w:r w:rsidR="00410661">
        <w:rPr>
          <w:b/>
          <w:color w:val="244061" w:themeColor="accent1" w:themeShade="80"/>
        </w:rPr>
        <w:t>IRSD</w:t>
      </w:r>
      <w:r>
        <w:rPr>
          <w:b/>
          <w:color w:val="244061" w:themeColor="accent1" w:themeShade="80"/>
        </w:rPr>
        <w:t>) with SEIFA of 7 or higher</w:t>
      </w:r>
    </w:p>
    <w:tbl>
      <w:tblPr>
        <w:tblStyle w:val="MediumList1-Accent5"/>
        <w:tblW w:w="9464" w:type="dxa"/>
        <w:tblLayout w:type="fixed"/>
        <w:tblLook w:val="04A0"/>
      </w:tblPr>
      <w:tblGrid>
        <w:gridCol w:w="1101"/>
        <w:gridCol w:w="1842"/>
        <w:gridCol w:w="709"/>
        <w:gridCol w:w="709"/>
        <w:gridCol w:w="709"/>
        <w:gridCol w:w="708"/>
        <w:gridCol w:w="1276"/>
        <w:gridCol w:w="1134"/>
        <w:gridCol w:w="1276"/>
      </w:tblGrid>
      <w:tr w:rsidR="009756CB" w:rsidRPr="004D46A0" w:rsidTr="00D92DAC">
        <w:trPr>
          <w:cnfStyle w:val="100000000000"/>
          <w:trHeight w:val="667"/>
        </w:trPr>
        <w:tc>
          <w:tcPr>
            <w:cnfStyle w:val="001000000000"/>
            <w:tcW w:w="110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756CB" w:rsidRPr="003D5B5A" w:rsidRDefault="009756CB" w:rsidP="00D92DAC">
            <w:pPr>
              <w:spacing w:after="80"/>
              <w:jc w:val="center"/>
              <w:rPr>
                <w:rFonts w:asciiTheme="minorHAnsi" w:hAnsiTheme="minorHAnsi" w:cstheme="minorHAnsi"/>
                <w:color w:val="244061" w:themeColor="accent1" w:themeShade="80"/>
              </w:rPr>
            </w:pPr>
            <w:r w:rsidRPr="003D5B5A">
              <w:rPr>
                <w:rFonts w:asciiTheme="minorHAnsi" w:hAnsiTheme="minorHAnsi" w:cstheme="minorHAnsi"/>
                <w:color w:val="244061" w:themeColor="accent1" w:themeShade="80"/>
              </w:rPr>
              <w:t>CD code</w:t>
            </w:r>
          </w:p>
        </w:tc>
        <w:tc>
          <w:tcPr>
            <w:tcW w:w="1842"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756CB" w:rsidRPr="003D5B5A" w:rsidRDefault="009756CB" w:rsidP="00D92DAC">
            <w:pPr>
              <w:spacing w:after="80"/>
              <w:jc w:val="center"/>
              <w:cnfStyle w:val="100000000000"/>
              <w:rPr>
                <w:rFonts w:asciiTheme="minorHAnsi" w:hAnsiTheme="minorHAnsi" w:cstheme="minorHAnsi"/>
                <w:b/>
                <w:color w:val="244061" w:themeColor="accent1" w:themeShade="80"/>
              </w:rPr>
            </w:pPr>
            <w:r w:rsidRPr="003D5B5A">
              <w:rPr>
                <w:rFonts w:asciiTheme="minorHAnsi" w:hAnsiTheme="minorHAnsi" w:cstheme="minorHAnsi"/>
                <w:b/>
                <w:color w:val="244061" w:themeColor="accent1" w:themeShade="80"/>
              </w:rPr>
              <w:t>Suburb</w:t>
            </w:r>
          </w:p>
        </w:tc>
        <w:tc>
          <w:tcPr>
            <w:tcW w:w="283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9756CB" w:rsidRPr="00BE5299" w:rsidRDefault="009756CB" w:rsidP="00D92DAC">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 of population by SEIFI </w:t>
            </w:r>
            <w:r w:rsidR="00410661" w:rsidRPr="00410661">
              <w:rPr>
                <w:rFonts w:asciiTheme="minorHAnsi" w:hAnsiTheme="minorHAnsi" w:cstheme="minorHAnsi"/>
                <w:b/>
                <w:color w:val="244061" w:themeColor="accent1" w:themeShade="80"/>
              </w:rPr>
              <w:t xml:space="preserve">IRSD </w:t>
            </w:r>
            <w:r w:rsidRPr="00BE5299">
              <w:rPr>
                <w:rFonts w:asciiTheme="minorHAnsi" w:hAnsiTheme="minorHAnsi" w:cstheme="minorHAnsi"/>
                <w:b/>
                <w:color w:val="244061" w:themeColor="accent1" w:themeShade="80"/>
              </w:rPr>
              <w:t>Group</w:t>
            </w:r>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756CB" w:rsidRPr="00BE5299" w:rsidRDefault="009756CB" w:rsidP="00D92DAC">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134"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756CB" w:rsidRPr="00BE5299" w:rsidRDefault="009756CB" w:rsidP="00D92DAC">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w:t>
            </w:r>
            <w:r>
              <w:rPr>
                <w:rFonts w:asciiTheme="minorHAnsi" w:hAnsiTheme="minorHAnsi" w:cstheme="minorHAnsi"/>
                <w:b/>
                <w:color w:val="244061" w:themeColor="accent1" w:themeShade="80"/>
              </w:rPr>
              <w:t xml:space="preserve">. </w:t>
            </w:r>
            <w:r w:rsidRPr="00BE5299">
              <w:rPr>
                <w:rFonts w:asciiTheme="minorHAnsi" w:hAnsiTheme="minorHAnsi" w:cstheme="minorHAnsi"/>
                <w:b/>
                <w:color w:val="244061" w:themeColor="accent1" w:themeShade="80"/>
              </w:rPr>
              <w:t>aged 15-64</w:t>
            </w:r>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756CB" w:rsidRPr="00BE5299" w:rsidRDefault="009756CB" w:rsidP="00D92DAC">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w:t>
            </w:r>
            <w:r>
              <w:rPr>
                <w:rFonts w:asciiTheme="minorHAnsi" w:hAnsiTheme="minorHAnsi" w:cstheme="minorHAnsi"/>
                <w:b/>
                <w:color w:val="244061" w:themeColor="accent1" w:themeShade="80"/>
              </w:rPr>
              <w:t>.</w:t>
            </w:r>
            <w:r w:rsidRPr="00BE5299">
              <w:rPr>
                <w:rFonts w:asciiTheme="minorHAnsi" w:hAnsiTheme="minorHAnsi" w:cstheme="minorHAnsi"/>
                <w:b/>
                <w:color w:val="244061" w:themeColor="accent1" w:themeShade="80"/>
              </w:rPr>
              <w:t xml:space="preserve"> (all ages)</w:t>
            </w:r>
          </w:p>
        </w:tc>
      </w:tr>
      <w:tr w:rsidR="009756CB" w:rsidRPr="004D46A0" w:rsidTr="00D92DAC">
        <w:trPr>
          <w:cnfStyle w:val="000000100000"/>
          <w:trHeight w:val="418"/>
        </w:trPr>
        <w:tc>
          <w:tcPr>
            <w:cnfStyle w:val="001000000000"/>
            <w:tcW w:w="1101" w:type="dxa"/>
            <w:vMerge/>
            <w:tcBorders>
              <w:left w:val="single" w:sz="4" w:space="0" w:color="31849B" w:themeColor="accent5" w:themeShade="BF"/>
              <w:bottom w:val="single" w:sz="8" w:space="0" w:color="4BACC6" w:themeColor="accent5"/>
              <w:right w:val="single" w:sz="4" w:space="0" w:color="31849B" w:themeColor="accent5" w:themeShade="BF"/>
            </w:tcBorders>
          </w:tcPr>
          <w:p w:rsidR="009756CB" w:rsidRPr="00BE5299" w:rsidRDefault="009756CB" w:rsidP="00D92DAC">
            <w:pPr>
              <w:spacing w:after="80"/>
              <w:jc w:val="center"/>
              <w:rPr>
                <w:rFonts w:cstheme="minorHAnsi"/>
                <w:color w:val="244061" w:themeColor="accent1" w:themeShade="80"/>
              </w:rPr>
            </w:pPr>
          </w:p>
        </w:tc>
        <w:tc>
          <w:tcPr>
            <w:tcW w:w="1842"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BE5299" w:rsidRDefault="009756CB" w:rsidP="00D92DAC">
            <w:pPr>
              <w:spacing w:after="80"/>
              <w:jc w:val="center"/>
              <w:cnfStyle w:val="000000100000"/>
              <w:rPr>
                <w:rFonts w:cstheme="minorHAnsi"/>
                <w:color w:val="244061" w:themeColor="accent1" w:themeShade="80"/>
              </w:rPr>
            </w:pP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BE5299" w:rsidRDefault="009756CB" w:rsidP="00D92DAC">
            <w:pPr>
              <w:spacing w:after="80"/>
              <w:jc w:val="center"/>
              <w:cnfStyle w:val="000000100000"/>
              <w:rPr>
                <w:rFonts w:cstheme="minorHAnsi"/>
                <w:b/>
              </w:rPr>
            </w:pPr>
            <w:r w:rsidRPr="00BE5299">
              <w:rPr>
                <w:rFonts w:cstheme="minorHAnsi"/>
                <w:b/>
              </w:rPr>
              <w:t>1</w:t>
            </w: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BE5299" w:rsidRDefault="009756CB" w:rsidP="00D92DAC">
            <w:pPr>
              <w:spacing w:after="80"/>
              <w:jc w:val="center"/>
              <w:cnfStyle w:val="000000100000"/>
              <w:rPr>
                <w:rFonts w:cstheme="minorHAnsi"/>
                <w:b/>
              </w:rPr>
            </w:pPr>
            <w:r w:rsidRPr="00BE5299">
              <w:rPr>
                <w:rFonts w:cstheme="minorHAnsi"/>
                <w:b/>
              </w:rPr>
              <w:t>2</w:t>
            </w: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BE5299" w:rsidRDefault="009756CB" w:rsidP="00D92DAC">
            <w:pPr>
              <w:spacing w:after="80"/>
              <w:jc w:val="center"/>
              <w:cnfStyle w:val="000000100000"/>
              <w:rPr>
                <w:rFonts w:cstheme="minorHAnsi"/>
                <w:b/>
              </w:rPr>
            </w:pPr>
            <w:r w:rsidRPr="00BE5299">
              <w:rPr>
                <w:rFonts w:cstheme="minorHAnsi"/>
                <w:b/>
              </w:rPr>
              <w:t>3</w:t>
            </w:r>
          </w:p>
        </w:tc>
        <w:tc>
          <w:tcPr>
            <w:tcW w:w="708"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BE5299" w:rsidRDefault="009756CB" w:rsidP="00D92DAC">
            <w:pPr>
              <w:spacing w:after="80"/>
              <w:jc w:val="center"/>
              <w:cnfStyle w:val="000000100000"/>
              <w:rPr>
                <w:rFonts w:cstheme="minorHAnsi"/>
                <w:b/>
              </w:rPr>
            </w:pPr>
            <w:r w:rsidRPr="00BE5299">
              <w:rPr>
                <w:rFonts w:cstheme="minorHAnsi"/>
                <w:b/>
              </w:rPr>
              <w:t>4</w:t>
            </w: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A578B7" w:rsidRDefault="009756CB" w:rsidP="00D92DAC">
            <w:pPr>
              <w:spacing w:before="80" w:after="80"/>
              <w:jc w:val="center"/>
              <w:cnfStyle w:val="000000100000"/>
              <w:rPr>
                <w:rFonts w:cstheme="minorHAnsi"/>
                <w:b/>
              </w:rPr>
            </w:pPr>
          </w:p>
        </w:tc>
        <w:tc>
          <w:tcPr>
            <w:tcW w:w="1134"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A578B7" w:rsidRDefault="009756CB" w:rsidP="00D92DAC">
            <w:pPr>
              <w:spacing w:before="80" w:after="80"/>
              <w:jc w:val="center"/>
              <w:cnfStyle w:val="000000100000"/>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9756CB" w:rsidRPr="00A578B7" w:rsidRDefault="009756CB" w:rsidP="00D92DAC">
            <w:pPr>
              <w:spacing w:before="80" w:after="80"/>
              <w:jc w:val="center"/>
              <w:cnfStyle w:val="000000100000"/>
              <w:rPr>
                <w:rFonts w:cstheme="minorHAnsi"/>
                <w:b/>
              </w:rPr>
            </w:pPr>
          </w:p>
        </w:tc>
      </w:tr>
      <w:tr w:rsidR="009756CB" w:rsidRPr="004D46A0" w:rsidTr="009756CB">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8022401</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000000"/>
              <w:rPr>
                <w:rFonts w:ascii="Calibri" w:hAnsi="Calibri" w:cs="Calibri"/>
                <w:color w:val="244061" w:themeColor="accent1" w:themeShade="80"/>
              </w:rPr>
            </w:pPr>
            <w:proofErr w:type="spellStart"/>
            <w:r w:rsidRPr="009756CB">
              <w:rPr>
                <w:rFonts w:ascii="Calibri" w:hAnsi="Calibri" w:cs="Calibri"/>
                <w:color w:val="244061" w:themeColor="accent1" w:themeShade="80"/>
              </w:rPr>
              <w:t>Kambah</w:t>
            </w:r>
            <w:proofErr w:type="spellEnd"/>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24%</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175</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229</w:t>
            </w:r>
          </w:p>
        </w:tc>
      </w:tr>
      <w:tr w:rsidR="009756CB" w:rsidRPr="004D46A0" w:rsidTr="009756CB">
        <w:trPr>
          <w:cnfStyle w:val="000000100000"/>
          <w:trHeight w:val="275"/>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8020804</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100000"/>
              <w:rPr>
                <w:rFonts w:ascii="Calibri" w:hAnsi="Calibri" w:cs="Calibri"/>
                <w:color w:val="244061" w:themeColor="accent1" w:themeShade="80"/>
              </w:rPr>
            </w:pPr>
            <w:proofErr w:type="spellStart"/>
            <w:r w:rsidRPr="009756CB">
              <w:rPr>
                <w:rFonts w:ascii="Calibri" w:hAnsi="Calibri" w:cs="Calibri"/>
                <w:color w:val="244061" w:themeColor="accent1" w:themeShade="80"/>
              </w:rPr>
              <w:t>Mawson</w:t>
            </w:r>
            <w:proofErr w:type="spellEnd"/>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7%</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385</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424</w:t>
            </w:r>
          </w:p>
        </w:tc>
      </w:tr>
      <w:tr w:rsidR="009756CB" w:rsidRPr="004D46A0" w:rsidTr="009756CB">
        <w:trPr>
          <w:trHeight w:val="275"/>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8013005</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000000"/>
              <w:rPr>
                <w:rFonts w:ascii="Calibri" w:hAnsi="Calibri" w:cs="Calibri"/>
                <w:color w:val="244061" w:themeColor="accent1" w:themeShade="80"/>
              </w:rPr>
            </w:pPr>
            <w:proofErr w:type="spellStart"/>
            <w:r w:rsidRPr="009756CB">
              <w:rPr>
                <w:rFonts w:ascii="Calibri" w:hAnsi="Calibri" w:cs="Calibri"/>
                <w:color w:val="244061" w:themeColor="accent1" w:themeShade="80"/>
              </w:rPr>
              <w:t>Lyneham</w:t>
            </w:r>
            <w:proofErr w:type="spellEnd"/>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41%</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166</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179</w:t>
            </w:r>
          </w:p>
        </w:tc>
      </w:tr>
      <w:tr w:rsidR="009756CB" w:rsidRPr="004D46A0" w:rsidTr="009756CB">
        <w:trPr>
          <w:cnfStyle w:val="000000100000"/>
          <w:trHeight w:val="275"/>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8010104</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100000"/>
              <w:rPr>
                <w:rFonts w:ascii="Calibri" w:hAnsi="Calibri" w:cs="Calibri"/>
                <w:color w:val="244061" w:themeColor="accent1" w:themeShade="80"/>
              </w:rPr>
            </w:pPr>
            <w:r w:rsidRPr="009756CB">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22%</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13%</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27%</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38%</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61</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65</w:t>
            </w:r>
          </w:p>
        </w:tc>
      </w:tr>
      <w:tr w:rsidR="009756CB" w:rsidRPr="004D46A0" w:rsidTr="009756CB">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8011803</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000000"/>
              <w:rPr>
                <w:rFonts w:ascii="Calibri" w:hAnsi="Calibri" w:cs="Calibri"/>
                <w:color w:val="244061" w:themeColor="accent1" w:themeShade="80"/>
              </w:rPr>
            </w:pPr>
            <w:r w:rsidRPr="009756CB">
              <w:rPr>
                <w:rFonts w:ascii="Calibri" w:hAnsi="Calibri" w:cs="Calibri"/>
                <w:color w:val="244061" w:themeColor="accent1" w:themeShade="80"/>
              </w:rPr>
              <w:t>Page</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32%</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36%</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460</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617</w:t>
            </w:r>
          </w:p>
        </w:tc>
      </w:tr>
      <w:tr w:rsidR="009756CB" w:rsidRPr="004D46A0" w:rsidTr="009756CB">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8021702</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100000"/>
              <w:rPr>
                <w:rFonts w:ascii="Calibri" w:hAnsi="Calibri" w:cs="Calibri"/>
                <w:color w:val="244061" w:themeColor="accent1" w:themeShade="80"/>
              </w:rPr>
            </w:pPr>
            <w:r w:rsidRPr="009756CB">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44%</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42</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65</w:t>
            </w:r>
          </w:p>
        </w:tc>
      </w:tr>
      <w:tr w:rsidR="009756CB" w:rsidRPr="004D46A0" w:rsidTr="009756CB">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8013101</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000000"/>
              <w:rPr>
                <w:rFonts w:ascii="Calibri" w:hAnsi="Calibri" w:cs="Calibri"/>
                <w:color w:val="244061" w:themeColor="accent1" w:themeShade="80"/>
              </w:rPr>
            </w:pPr>
            <w:r w:rsidRPr="009756CB">
              <w:rPr>
                <w:rFonts w:ascii="Calibri" w:hAnsi="Calibri" w:cs="Calibri"/>
                <w:color w:val="244061" w:themeColor="accent1" w:themeShade="80"/>
              </w:rPr>
              <w:t>Downer</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9C0006"/>
              </w:rPr>
            </w:pPr>
            <w:r>
              <w:rPr>
                <w:rFonts w:ascii="Calibri" w:hAnsi="Calibri" w:cs="Calibri"/>
                <w:color w:val="9C0006"/>
              </w:rPr>
              <w:t>44%</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422</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000000"/>
              <w:rPr>
                <w:rFonts w:ascii="Calibri" w:hAnsi="Calibri" w:cs="Calibri"/>
                <w:color w:val="000000"/>
              </w:rPr>
            </w:pPr>
            <w:r>
              <w:rPr>
                <w:rFonts w:ascii="Calibri" w:hAnsi="Calibri" w:cs="Calibri"/>
                <w:color w:val="000000"/>
              </w:rPr>
              <w:t>619</w:t>
            </w:r>
          </w:p>
        </w:tc>
      </w:tr>
      <w:tr w:rsidR="009756CB" w:rsidRPr="004D46A0" w:rsidTr="009756CB">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9756CB" w:rsidRPr="009756CB" w:rsidRDefault="009756CB">
            <w:pPr>
              <w:jc w:val="right"/>
              <w:rPr>
                <w:rFonts w:ascii="Calibri" w:hAnsi="Calibri" w:cs="Calibri"/>
                <w:b w:val="0"/>
                <w:color w:val="244061" w:themeColor="accent1" w:themeShade="80"/>
              </w:rPr>
            </w:pPr>
            <w:r w:rsidRPr="009756CB">
              <w:rPr>
                <w:rFonts w:ascii="Calibri" w:hAnsi="Calibri" w:cs="Calibri"/>
                <w:b w:val="0"/>
                <w:color w:val="244061" w:themeColor="accent1" w:themeShade="80"/>
              </w:rPr>
              <w:t>8010505</w:t>
            </w:r>
          </w:p>
        </w:tc>
        <w:tc>
          <w:tcPr>
            <w:tcW w:w="1842" w:type="dxa"/>
            <w:tcBorders>
              <w:left w:val="single" w:sz="4" w:space="0" w:color="31849B" w:themeColor="accent5" w:themeShade="BF"/>
              <w:right w:val="single" w:sz="4" w:space="0" w:color="31849B" w:themeColor="accent5" w:themeShade="BF"/>
            </w:tcBorders>
            <w:vAlign w:val="bottom"/>
          </w:tcPr>
          <w:p w:rsidR="009756CB" w:rsidRPr="009756CB" w:rsidRDefault="009756CB">
            <w:pPr>
              <w:cnfStyle w:val="000000100000"/>
              <w:rPr>
                <w:rFonts w:ascii="Calibri" w:hAnsi="Calibri" w:cs="Calibri"/>
                <w:color w:val="244061" w:themeColor="accent1" w:themeShade="80"/>
              </w:rPr>
            </w:pPr>
            <w:proofErr w:type="spellStart"/>
            <w:r w:rsidRPr="009756CB">
              <w:rPr>
                <w:rFonts w:ascii="Calibri" w:hAnsi="Calibri" w:cs="Calibri"/>
                <w:color w:val="244061" w:themeColor="accent1" w:themeShade="80"/>
              </w:rPr>
              <w:t>Palmerston</w:t>
            </w:r>
            <w:proofErr w:type="spellEnd"/>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34%</w:t>
            </w:r>
          </w:p>
        </w:tc>
        <w:tc>
          <w:tcPr>
            <w:tcW w:w="708"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9C0006"/>
              </w:rPr>
            </w:pPr>
            <w:r>
              <w:rPr>
                <w:rFonts w:ascii="Calibri" w:hAnsi="Calibri" w:cs="Calibri"/>
                <w:color w:val="9C0006"/>
              </w:rPr>
              <w:t>35%</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375</w:t>
            </w:r>
          </w:p>
        </w:tc>
        <w:tc>
          <w:tcPr>
            <w:tcW w:w="1276" w:type="dxa"/>
            <w:tcBorders>
              <w:left w:val="single" w:sz="4" w:space="0" w:color="31849B" w:themeColor="accent5" w:themeShade="BF"/>
              <w:right w:val="single" w:sz="4" w:space="0" w:color="31849B" w:themeColor="accent5" w:themeShade="BF"/>
            </w:tcBorders>
            <w:vAlign w:val="bottom"/>
          </w:tcPr>
          <w:p w:rsidR="009756CB" w:rsidRDefault="009756CB" w:rsidP="009756CB">
            <w:pPr>
              <w:jc w:val="center"/>
              <w:cnfStyle w:val="000000100000"/>
              <w:rPr>
                <w:rFonts w:ascii="Calibri" w:hAnsi="Calibri" w:cs="Calibri"/>
                <w:color w:val="000000"/>
              </w:rPr>
            </w:pPr>
            <w:r>
              <w:rPr>
                <w:rFonts w:ascii="Calibri" w:hAnsi="Calibri" w:cs="Calibri"/>
                <w:color w:val="000000"/>
              </w:rPr>
              <w:t>514</w:t>
            </w:r>
          </w:p>
        </w:tc>
      </w:tr>
    </w:tbl>
    <w:p w:rsidR="009756CB" w:rsidRDefault="009756CB" w:rsidP="009756CB">
      <w:pPr>
        <w:pStyle w:val="ListParagraph"/>
        <w:ind w:left="1134"/>
        <w:rPr>
          <w:b/>
          <w:color w:val="244061" w:themeColor="accent1" w:themeShade="80"/>
        </w:rPr>
      </w:pPr>
    </w:p>
    <w:p w:rsidR="009756CB" w:rsidRDefault="009756CB">
      <w:pPr>
        <w:rPr>
          <w:b/>
          <w:color w:val="244061" w:themeColor="accent1" w:themeShade="80"/>
        </w:rPr>
      </w:pPr>
      <w:r>
        <w:rPr>
          <w:b/>
          <w:color w:val="244061" w:themeColor="accent1" w:themeShade="80"/>
        </w:rPr>
        <w:br w:type="page"/>
      </w:r>
    </w:p>
    <w:p w:rsidR="00442B22" w:rsidRPr="004D7BA0" w:rsidRDefault="004D7BA0" w:rsidP="00F03282">
      <w:pPr>
        <w:pStyle w:val="ListParagraph"/>
        <w:numPr>
          <w:ilvl w:val="0"/>
          <w:numId w:val="43"/>
        </w:numPr>
        <w:ind w:left="1134" w:hanging="1134"/>
        <w:rPr>
          <w:b/>
          <w:color w:val="244061" w:themeColor="accent1" w:themeShade="80"/>
        </w:rPr>
      </w:pPr>
      <w:r w:rsidRPr="004D7BA0">
        <w:rPr>
          <w:b/>
          <w:color w:val="244061" w:themeColor="accent1" w:themeShade="80"/>
        </w:rPr>
        <w:lastRenderedPageBreak/>
        <w:t xml:space="preserve">ACT </w:t>
      </w:r>
      <w:r w:rsidR="00442B22" w:rsidRPr="004D7BA0">
        <w:rPr>
          <w:b/>
          <w:color w:val="244061" w:themeColor="accent1" w:themeShade="80"/>
        </w:rPr>
        <w:t>CDs with 20% or more in Group 1 SEIFI</w:t>
      </w:r>
      <w:r w:rsidR="00410661" w:rsidRPr="00410661">
        <w:rPr>
          <w:b/>
          <w:color w:val="244061" w:themeColor="accent1" w:themeShade="80"/>
        </w:rPr>
        <w:t xml:space="preserve"> </w:t>
      </w:r>
      <w:r w:rsidR="00410661">
        <w:rPr>
          <w:b/>
          <w:color w:val="244061" w:themeColor="accent1" w:themeShade="80"/>
        </w:rPr>
        <w:t>IRSD</w:t>
      </w:r>
      <w:r w:rsidR="00442B22" w:rsidRPr="004D7BA0">
        <w:rPr>
          <w:b/>
          <w:color w:val="244061" w:themeColor="accent1" w:themeShade="80"/>
        </w:rPr>
        <w:t xml:space="preserve"> and </w:t>
      </w:r>
      <w:r w:rsidRPr="004D7BA0">
        <w:rPr>
          <w:b/>
          <w:color w:val="244061" w:themeColor="accent1" w:themeShade="80"/>
        </w:rPr>
        <w:t xml:space="preserve">SEIFA </w:t>
      </w:r>
      <w:r w:rsidR="00410661">
        <w:rPr>
          <w:b/>
          <w:color w:val="244061" w:themeColor="accent1" w:themeShade="80"/>
        </w:rPr>
        <w:t xml:space="preserve">IRSD </w:t>
      </w:r>
      <w:r w:rsidRPr="004D7BA0">
        <w:rPr>
          <w:b/>
          <w:color w:val="244061" w:themeColor="accent1" w:themeShade="80"/>
        </w:rPr>
        <w:t>of 5 or higher (15-64 year old population)</w:t>
      </w:r>
    </w:p>
    <w:tbl>
      <w:tblPr>
        <w:tblStyle w:val="MediumList1-Accent5"/>
        <w:tblW w:w="9464" w:type="dxa"/>
        <w:tblLayout w:type="fixed"/>
        <w:tblLook w:val="0420"/>
      </w:tblPr>
      <w:tblGrid>
        <w:gridCol w:w="1101"/>
        <w:gridCol w:w="1842"/>
        <w:gridCol w:w="709"/>
        <w:gridCol w:w="709"/>
        <w:gridCol w:w="709"/>
        <w:gridCol w:w="708"/>
        <w:gridCol w:w="1276"/>
        <w:gridCol w:w="1134"/>
        <w:gridCol w:w="1276"/>
      </w:tblGrid>
      <w:tr w:rsidR="00BA1F60" w:rsidRPr="004D46A0" w:rsidTr="0088604F">
        <w:trPr>
          <w:cnfStyle w:val="100000000000"/>
          <w:trHeight w:val="667"/>
        </w:trPr>
        <w:tc>
          <w:tcPr>
            <w:tcW w:w="110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88604F" w:rsidRDefault="00BA1F60" w:rsidP="00ED5E86">
            <w:pPr>
              <w:spacing w:after="80"/>
              <w:jc w:val="center"/>
              <w:rPr>
                <w:rFonts w:asciiTheme="minorHAnsi" w:hAnsiTheme="minorHAnsi" w:cstheme="minorHAnsi"/>
                <w:b/>
                <w:color w:val="244061" w:themeColor="accent1" w:themeShade="80"/>
              </w:rPr>
            </w:pPr>
            <w:r w:rsidRPr="0088604F">
              <w:rPr>
                <w:rFonts w:asciiTheme="minorHAnsi" w:hAnsiTheme="minorHAnsi" w:cstheme="minorHAnsi"/>
                <w:b/>
                <w:color w:val="244061" w:themeColor="accent1" w:themeShade="80"/>
              </w:rPr>
              <w:t>CD code</w:t>
            </w:r>
          </w:p>
        </w:tc>
        <w:tc>
          <w:tcPr>
            <w:tcW w:w="1842"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3D5B5A" w:rsidRDefault="00BA1F60" w:rsidP="004D7BA0">
            <w:pPr>
              <w:spacing w:after="80"/>
              <w:jc w:val="center"/>
              <w:rPr>
                <w:rFonts w:asciiTheme="minorHAnsi" w:hAnsiTheme="minorHAnsi" w:cstheme="minorHAnsi"/>
                <w:b/>
                <w:color w:val="244061" w:themeColor="accent1" w:themeShade="80"/>
              </w:rPr>
            </w:pPr>
            <w:r w:rsidRPr="003D5B5A">
              <w:rPr>
                <w:rFonts w:asciiTheme="minorHAnsi" w:hAnsiTheme="minorHAnsi" w:cstheme="minorHAnsi"/>
                <w:b/>
                <w:color w:val="244061" w:themeColor="accent1" w:themeShade="80"/>
              </w:rPr>
              <w:t>Suburb</w:t>
            </w:r>
          </w:p>
        </w:tc>
        <w:tc>
          <w:tcPr>
            <w:tcW w:w="283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BA1F60" w:rsidRPr="00BE5299" w:rsidRDefault="00BA1F60" w:rsidP="004D7BA0">
            <w:pPr>
              <w:spacing w:after="80"/>
              <w:jc w:val="center"/>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of population by SEIFI</w:t>
            </w:r>
            <w:r w:rsidR="00410661">
              <w:t xml:space="preserve"> </w:t>
            </w:r>
            <w:r w:rsidR="00410661" w:rsidRPr="00410661">
              <w:rPr>
                <w:rFonts w:asciiTheme="minorHAnsi" w:hAnsiTheme="minorHAnsi" w:cstheme="minorHAnsi"/>
                <w:b/>
                <w:color w:val="244061" w:themeColor="accent1" w:themeShade="80"/>
              </w:rPr>
              <w:t>IRSD</w:t>
            </w:r>
            <w:r w:rsidRPr="00BE5299">
              <w:rPr>
                <w:rFonts w:asciiTheme="minorHAnsi" w:hAnsiTheme="minorHAnsi" w:cstheme="minorHAnsi"/>
                <w:b/>
                <w:color w:val="244061" w:themeColor="accent1" w:themeShade="80"/>
              </w:rPr>
              <w:t xml:space="preserve"> Group</w:t>
            </w:r>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BE5299" w:rsidRDefault="00BA1F60" w:rsidP="004D7BA0">
            <w:pPr>
              <w:spacing w:after="80"/>
              <w:jc w:val="center"/>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134"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BE5299" w:rsidRDefault="00BA1F60" w:rsidP="00ED5E86">
            <w:pPr>
              <w:spacing w:after="80"/>
              <w:jc w:val="center"/>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w:t>
            </w:r>
            <w:r>
              <w:rPr>
                <w:rFonts w:asciiTheme="minorHAnsi" w:hAnsiTheme="minorHAnsi" w:cstheme="minorHAnsi"/>
                <w:b/>
                <w:color w:val="244061" w:themeColor="accent1" w:themeShade="80"/>
              </w:rPr>
              <w:t xml:space="preserve">. </w:t>
            </w:r>
            <w:r w:rsidRPr="00BE5299">
              <w:rPr>
                <w:rFonts w:asciiTheme="minorHAnsi" w:hAnsiTheme="minorHAnsi" w:cstheme="minorHAnsi"/>
                <w:b/>
                <w:color w:val="244061" w:themeColor="accent1" w:themeShade="80"/>
              </w:rPr>
              <w:t>aged 15-64</w:t>
            </w:r>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BE5299" w:rsidRDefault="00BA1F60" w:rsidP="00ED5E86">
            <w:pPr>
              <w:spacing w:after="80"/>
              <w:jc w:val="center"/>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w:t>
            </w:r>
            <w:r>
              <w:rPr>
                <w:rFonts w:asciiTheme="minorHAnsi" w:hAnsiTheme="minorHAnsi" w:cstheme="minorHAnsi"/>
                <w:b/>
                <w:color w:val="244061" w:themeColor="accent1" w:themeShade="80"/>
              </w:rPr>
              <w:t>.</w:t>
            </w:r>
            <w:r w:rsidRPr="00BE5299">
              <w:rPr>
                <w:rFonts w:asciiTheme="minorHAnsi" w:hAnsiTheme="minorHAnsi" w:cstheme="minorHAnsi"/>
                <w:b/>
                <w:color w:val="244061" w:themeColor="accent1" w:themeShade="80"/>
              </w:rPr>
              <w:t xml:space="preserve"> (all ages)</w:t>
            </w:r>
          </w:p>
        </w:tc>
      </w:tr>
      <w:tr w:rsidR="00BA1F60" w:rsidRPr="004D46A0" w:rsidTr="0088604F">
        <w:trPr>
          <w:cnfStyle w:val="000000100000"/>
          <w:trHeight w:val="418"/>
        </w:trPr>
        <w:tc>
          <w:tcPr>
            <w:tcW w:w="1101" w:type="dxa"/>
            <w:vMerge/>
            <w:tcBorders>
              <w:left w:val="single" w:sz="4" w:space="0" w:color="31849B" w:themeColor="accent5" w:themeShade="BF"/>
              <w:bottom w:val="single" w:sz="8" w:space="0" w:color="4BACC6" w:themeColor="accent5"/>
              <w:right w:val="single" w:sz="4" w:space="0" w:color="31849B" w:themeColor="accent5" w:themeShade="BF"/>
            </w:tcBorders>
          </w:tcPr>
          <w:p w:rsidR="00BA1F60" w:rsidRPr="00BE5299" w:rsidRDefault="00BA1F60" w:rsidP="004D7BA0">
            <w:pPr>
              <w:spacing w:after="80"/>
              <w:jc w:val="center"/>
              <w:rPr>
                <w:rFonts w:cstheme="minorHAnsi"/>
                <w:color w:val="244061" w:themeColor="accent1" w:themeShade="80"/>
              </w:rPr>
            </w:pPr>
          </w:p>
        </w:tc>
        <w:tc>
          <w:tcPr>
            <w:tcW w:w="1842"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4D7BA0">
            <w:pPr>
              <w:spacing w:after="80"/>
              <w:jc w:val="center"/>
              <w:rPr>
                <w:rFonts w:cstheme="minorHAnsi"/>
                <w:color w:val="244061" w:themeColor="accent1" w:themeShade="80"/>
              </w:rPr>
            </w:pP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4D7BA0">
            <w:pPr>
              <w:spacing w:after="80"/>
              <w:jc w:val="center"/>
              <w:rPr>
                <w:rFonts w:cstheme="minorHAnsi"/>
                <w:b/>
              </w:rPr>
            </w:pPr>
            <w:r w:rsidRPr="00BE5299">
              <w:rPr>
                <w:rFonts w:cstheme="minorHAnsi"/>
                <w:b/>
              </w:rPr>
              <w:t>1</w:t>
            </w: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4D7BA0">
            <w:pPr>
              <w:spacing w:after="80"/>
              <w:jc w:val="center"/>
              <w:rPr>
                <w:rFonts w:cstheme="minorHAnsi"/>
                <w:b/>
              </w:rPr>
            </w:pPr>
            <w:r w:rsidRPr="00BE5299">
              <w:rPr>
                <w:rFonts w:cstheme="minorHAnsi"/>
                <w:b/>
              </w:rPr>
              <w:t>2</w:t>
            </w: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4D7BA0">
            <w:pPr>
              <w:spacing w:after="80"/>
              <w:jc w:val="center"/>
              <w:rPr>
                <w:rFonts w:cstheme="minorHAnsi"/>
                <w:b/>
              </w:rPr>
            </w:pPr>
            <w:r w:rsidRPr="00BE5299">
              <w:rPr>
                <w:rFonts w:cstheme="minorHAnsi"/>
                <w:b/>
              </w:rPr>
              <w:t>3</w:t>
            </w:r>
          </w:p>
        </w:tc>
        <w:tc>
          <w:tcPr>
            <w:tcW w:w="708"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4D7BA0">
            <w:pPr>
              <w:spacing w:after="80"/>
              <w:jc w:val="center"/>
              <w:rPr>
                <w:rFonts w:cstheme="minorHAnsi"/>
                <w:b/>
              </w:rPr>
            </w:pPr>
            <w:r w:rsidRPr="00BE5299">
              <w:rPr>
                <w:rFonts w:cstheme="minorHAnsi"/>
                <w:b/>
              </w:rPr>
              <w:t>4</w:t>
            </w: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A578B7" w:rsidRDefault="00BA1F60" w:rsidP="004D7BA0">
            <w:pPr>
              <w:spacing w:before="80" w:after="80"/>
              <w:jc w:val="center"/>
              <w:rPr>
                <w:rFonts w:cstheme="minorHAnsi"/>
                <w:b/>
              </w:rPr>
            </w:pPr>
          </w:p>
        </w:tc>
        <w:tc>
          <w:tcPr>
            <w:tcW w:w="1134"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A578B7" w:rsidRDefault="00BA1F60" w:rsidP="004D7BA0">
            <w:pPr>
              <w:spacing w:before="80" w:after="80"/>
              <w:jc w:val="center"/>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A578B7" w:rsidRDefault="00BA1F60" w:rsidP="004D7BA0">
            <w:pPr>
              <w:spacing w:before="80" w:after="80"/>
              <w:jc w:val="center"/>
              <w:rPr>
                <w:rFonts w:cstheme="minorHAnsi"/>
                <w:b/>
              </w:rPr>
            </w:pP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8024101</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33%</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85</w:t>
            </w:r>
          </w:p>
        </w:tc>
      </w:tr>
      <w:tr w:rsidR="00026E20" w:rsidRPr="004D46A0" w:rsidTr="0088604F">
        <w:trPr>
          <w:cnfStyle w:val="000000100000"/>
          <w:trHeight w:val="275"/>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8012902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O'Connor</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27%</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21%</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47%</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228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304</w:t>
            </w:r>
          </w:p>
        </w:tc>
      </w:tr>
      <w:tr w:rsidR="00026E20" w:rsidRPr="004D46A0" w:rsidTr="0088604F">
        <w:trPr>
          <w:trHeight w:val="275"/>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8023104</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Richardson</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565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770</w:t>
            </w:r>
          </w:p>
        </w:tc>
      </w:tr>
      <w:tr w:rsidR="00026E20" w:rsidRPr="004D46A0" w:rsidTr="0088604F">
        <w:trPr>
          <w:cnfStyle w:val="000000100000"/>
          <w:trHeight w:val="275"/>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8011805</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Page</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30%</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306</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435</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8022401</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Kambah</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24%</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175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229</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8013203</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Watson</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450</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647</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8021002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Phillip</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31%</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253</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280</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8011404</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Holt</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24%</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17%</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30%</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29%</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507</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740</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8011704</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Florey</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24%</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29%</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36%</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648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894</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8023102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Richardson</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24%</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31%</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739</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1048</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8022507</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Wanniassa</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24%</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570</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774</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8020804</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Mawson</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385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424</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8011401</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Holt</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27%</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465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706</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8021802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Rivett</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39%</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398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554</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8022311</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Kambah</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14%</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371</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517</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8010519</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Ngunnawal</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355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507</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8013009</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Lyneham</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43%</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379</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533</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8013005</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Lyneham</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41%</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166</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179</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8022309</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Kambah</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373</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539</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8024001</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41</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56</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8024409</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Gordon</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22%</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32%</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29%</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467</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665</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8010104</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22%</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13%</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27%</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61</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65</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8015003</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Narrabundah</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22%</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502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660</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8023602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Isabella Plains</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31%</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347</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493</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8023803</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Calwell</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31%</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414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564</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8011803</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Page</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32%</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36%</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460</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617</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8011802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Page</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12%</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30%</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37%</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480</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661</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8011706</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Florey</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12%</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32%</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35%</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499</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689</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8021702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65</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8013007</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Lyneham</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8%</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27%</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632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826</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8011702</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Florey</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12%</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592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805</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8013101</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Downer</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422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619</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8010807</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proofErr w:type="spellStart"/>
            <w:r w:rsidRPr="00026E20">
              <w:rPr>
                <w:rFonts w:ascii="Calibri" w:hAnsi="Calibri" w:cs="Calibri"/>
                <w:color w:val="244061" w:themeColor="accent1" w:themeShade="80"/>
              </w:rPr>
              <w:t>Evatt</w:t>
            </w:r>
            <w:proofErr w:type="spellEnd"/>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30%</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34%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498</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727</w:t>
            </w:r>
          </w:p>
        </w:tc>
      </w:tr>
      <w:tr w:rsidR="00026E20" w:rsidRPr="004D46A0" w:rsidTr="0088604F">
        <w:trPr>
          <w:cnfStyle w:val="000000100000"/>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8013403</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Dickson</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26%</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44%</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5</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206</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327</w:t>
            </w:r>
          </w:p>
        </w:tc>
      </w:tr>
      <w:tr w:rsidR="00026E20" w:rsidRPr="004D46A0" w:rsidTr="0088604F">
        <w:trPr>
          <w:trHeight w:val="293"/>
        </w:trPr>
        <w:tc>
          <w:tcPr>
            <w:tcW w:w="1101" w:type="dxa"/>
            <w:tcBorders>
              <w:left w:val="single" w:sz="4" w:space="0" w:color="31849B" w:themeColor="accent5" w:themeShade="BF"/>
              <w:right w:val="single" w:sz="4" w:space="0" w:color="31849B" w:themeColor="accent5" w:themeShade="BF"/>
            </w:tcBorders>
            <w:vAlign w:val="bottom"/>
          </w:tcPr>
          <w:p w:rsidR="00026E20" w:rsidRPr="00026E20" w:rsidRDefault="00026E20">
            <w:pPr>
              <w:jc w:val="right"/>
              <w:rPr>
                <w:rFonts w:ascii="Calibri" w:hAnsi="Calibri" w:cs="Calibri"/>
                <w:color w:val="244061" w:themeColor="accent1" w:themeShade="80"/>
              </w:rPr>
            </w:pPr>
            <w:r w:rsidRPr="00026E20">
              <w:rPr>
                <w:rFonts w:ascii="Calibri" w:hAnsi="Calibri" w:cs="Calibri"/>
                <w:color w:val="244061" w:themeColor="accent1" w:themeShade="80"/>
              </w:rPr>
              <w:t>8013105</w:t>
            </w:r>
          </w:p>
        </w:tc>
        <w:tc>
          <w:tcPr>
            <w:tcW w:w="1842" w:type="dxa"/>
            <w:tcBorders>
              <w:left w:val="single" w:sz="4" w:space="0" w:color="31849B" w:themeColor="accent5" w:themeShade="BF"/>
              <w:right w:val="single" w:sz="4" w:space="0" w:color="31849B" w:themeColor="accent5" w:themeShade="BF"/>
            </w:tcBorders>
            <w:vAlign w:val="bottom"/>
          </w:tcPr>
          <w:p w:rsidR="00026E20" w:rsidRPr="00026E20" w:rsidRDefault="00026E20">
            <w:pPr>
              <w:rPr>
                <w:rFonts w:ascii="Calibri" w:hAnsi="Calibri" w:cs="Calibri"/>
                <w:color w:val="244061" w:themeColor="accent1" w:themeShade="80"/>
              </w:rPr>
            </w:pPr>
            <w:r w:rsidRPr="00026E20">
              <w:rPr>
                <w:rFonts w:ascii="Calibri" w:hAnsi="Calibri" w:cs="Calibri"/>
                <w:color w:val="244061" w:themeColor="accent1" w:themeShade="80"/>
              </w:rPr>
              <w:t>Downer</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20%</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28%</w:t>
            </w:r>
          </w:p>
        </w:tc>
        <w:tc>
          <w:tcPr>
            <w:tcW w:w="708"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9C0006"/>
              </w:rPr>
            </w:pPr>
            <w:r>
              <w:rPr>
                <w:rFonts w:ascii="Calibri" w:hAnsi="Calibri" w:cs="Calibri"/>
                <w:color w:val="9C0006"/>
              </w:rPr>
              <w:t>42%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422</w:t>
            </w:r>
          </w:p>
        </w:tc>
        <w:tc>
          <w:tcPr>
            <w:tcW w:w="1276" w:type="dxa"/>
            <w:tcBorders>
              <w:left w:val="single" w:sz="4" w:space="0" w:color="31849B" w:themeColor="accent5" w:themeShade="BF"/>
              <w:right w:val="single" w:sz="4" w:space="0" w:color="31849B" w:themeColor="accent5" w:themeShade="BF"/>
            </w:tcBorders>
            <w:vAlign w:val="bottom"/>
          </w:tcPr>
          <w:p w:rsidR="00026E20" w:rsidRDefault="00026E20" w:rsidP="00026E20">
            <w:pPr>
              <w:jc w:val="center"/>
              <w:rPr>
                <w:rFonts w:ascii="Calibri" w:hAnsi="Calibri" w:cs="Calibri"/>
                <w:color w:val="000000"/>
              </w:rPr>
            </w:pPr>
            <w:r>
              <w:rPr>
                <w:rFonts w:ascii="Calibri" w:hAnsi="Calibri" w:cs="Calibri"/>
                <w:color w:val="000000"/>
              </w:rPr>
              <w:t>654</w:t>
            </w:r>
          </w:p>
        </w:tc>
      </w:tr>
    </w:tbl>
    <w:p w:rsidR="004D7BA0" w:rsidRDefault="004D7BA0" w:rsidP="00871271"/>
    <w:p w:rsidR="00380396" w:rsidRPr="004D7BA0" w:rsidRDefault="00380396" w:rsidP="00F03282">
      <w:pPr>
        <w:pStyle w:val="ListParagraph"/>
        <w:numPr>
          <w:ilvl w:val="0"/>
          <w:numId w:val="43"/>
        </w:numPr>
        <w:ind w:left="1134" w:hanging="1134"/>
        <w:rPr>
          <w:b/>
          <w:color w:val="244061" w:themeColor="accent1" w:themeShade="80"/>
        </w:rPr>
      </w:pPr>
      <w:r w:rsidRPr="004D7BA0">
        <w:rPr>
          <w:b/>
          <w:color w:val="244061" w:themeColor="accent1" w:themeShade="80"/>
        </w:rPr>
        <w:lastRenderedPageBreak/>
        <w:t xml:space="preserve">CDs with 20% or more in Group </w:t>
      </w:r>
      <w:r>
        <w:rPr>
          <w:b/>
          <w:color w:val="244061" w:themeColor="accent1" w:themeShade="80"/>
        </w:rPr>
        <w:t>2</w:t>
      </w:r>
      <w:r w:rsidRPr="004D7BA0">
        <w:rPr>
          <w:b/>
          <w:color w:val="244061" w:themeColor="accent1" w:themeShade="80"/>
        </w:rPr>
        <w:t xml:space="preserve"> SEIFI</w:t>
      </w:r>
      <w:r w:rsidR="00410661" w:rsidRPr="00410661">
        <w:rPr>
          <w:b/>
          <w:color w:val="244061" w:themeColor="accent1" w:themeShade="80"/>
        </w:rPr>
        <w:t xml:space="preserve"> </w:t>
      </w:r>
      <w:r w:rsidR="00410661">
        <w:rPr>
          <w:b/>
          <w:color w:val="244061" w:themeColor="accent1" w:themeShade="80"/>
        </w:rPr>
        <w:t>IRSD</w:t>
      </w:r>
      <w:r w:rsidRPr="004D7BA0">
        <w:rPr>
          <w:b/>
          <w:color w:val="244061" w:themeColor="accent1" w:themeShade="80"/>
        </w:rPr>
        <w:t xml:space="preserve"> and SEIFA </w:t>
      </w:r>
      <w:r w:rsidR="00410661">
        <w:rPr>
          <w:b/>
          <w:color w:val="244061" w:themeColor="accent1" w:themeShade="80"/>
        </w:rPr>
        <w:t xml:space="preserve">IRSD </w:t>
      </w:r>
      <w:r w:rsidRPr="004D7BA0">
        <w:rPr>
          <w:b/>
          <w:color w:val="244061" w:themeColor="accent1" w:themeShade="80"/>
        </w:rPr>
        <w:t>of 5 or higher (15-64 year old population)</w:t>
      </w:r>
    </w:p>
    <w:tbl>
      <w:tblPr>
        <w:tblStyle w:val="MediumList1-Accent5"/>
        <w:tblW w:w="9464" w:type="dxa"/>
        <w:tblLayout w:type="fixed"/>
        <w:tblLook w:val="04A0"/>
      </w:tblPr>
      <w:tblGrid>
        <w:gridCol w:w="1101"/>
        <w:gridCol w:w="1842"/>
        <w:gridCol w:w="709"/>
        <w:gridCol w:w="709"/>
        <w:gridCol w:w="709"/>
        <w:gridCol w:w="708"/>
        <w:gridCol w:w="1276"/>
        <w:gridCol w:w="1134"/>
        <w:gridCol w:w="1276"/>
      </w:tblGrid>
      <w:tr w:rsidR="00BA1F60" w:rsidRPr="004D46A0" w:rsidTr="00BA1F60">
        <w:trPr>
          <w:cnfStyle w:val="100000000000"/>
          <w:trHeight w:val="667"/>
        </w:trPr>
        <w:tc>
          <w:tcPr>
            <w:cnfStyle w:val="001000000000"/>
            <w:tcW w:w="110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3D5B5A" w:rsidRDefault="00BA1F60" w:rsidP="00380396">
            <w:pPr>
              <w:spacing w:after="80"/>
              <w:jc w:val="center"/>
              <w:rPr>
                <w:rFonts w:asciiTheme="minorHAnsi" w:hAnsiTheme="minorHAnsi" w:cstheme="minorHAnsi"/>
                <w:color w:val="244061" w:themeColor="accent1" w:themeShade="80"/>
              </w:rPr>
            </w:pPr>
            <w:r w:rsidRPr="003D5B5A">
              <w:rPr>
                <w:rFonts w:asciiTheme="minorHAnsi" w:hAnsiTheme="minorHAnsi" w:cstheme="minorHAnsi"/>
                <w:color w:val="244061" w:themeColor="accent1" w:themeShade="80"/>
              </w:rPr>
              <w:t>CD code</w:t>
            </w:r>
          </w:p>
        </w:tc>
        <w:tc>
          <w:tcPr>
            <w:tcW w:w="1842"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3D5B5A" w:rsidRDefault="00BA1F60" w:rsidP="00380396">
            <w:pPr>
              <w:spacing w:after="80"/>
              <w:jc w:val="center"/>
              <w:cnfStyle w:val="100000000000"/>
              <w:rPr>
                <w:rFonts w:asciiTheme="minorHAnsi" w:hAnsiTheme="minorHAnsi" w:cstheme="minorHAnsi"/>
                <w:b/>
                <w:color w:val="244061" w:themeColor="accent1" w:themeShade="80"/>
              </w:rPr>
            </w:pPr>
            <w:r w:rsidRPr="003D5B5A">
              <w:rPr>
                <w:rFonts w:asciiTheme="minorHAnsi" w:hAnsiTheme="minorHAnsi" w:cstheme="minorHAnsi"/>
                <w:b/>
                <w:color w:val="244061" w:themeColor="accent1" w:themeShade="80"/>
              </w:rPr>
              <w:t>Suburb</w:t>
            </w:r>
          </w:p>
        </w:tc>
        <w:tc>
          <w:tcPr>
            <w:tcW w:w="2835"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BA1F60" w:rsidRPr="00BE5299" w:rsidRDefault="00BA1F60" w:rsidP="00380396">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 of population by SEIFI </w:t>
            </w:r>
            <w:r w:rsidR="00410661" w:rsidRPr="00410661">
              <w:rPr>
                <w:rFonts w:asciiTheme="minorHAnsi" w:hAnsiTheme="minorHAnsi" w:cstheme="minorHAnsi"/>
                <w:b/>
                <w:color w:val="244061" w:themeColor="accent1" w:themeShade="80"/>
              </w:rPr>
              <w:t xml:space="preserve">IRSD </w:t>
            </w:r>
            <w:r w:rsidRPr="00BE5299">
              <w:rPr>
                <w:rFonts w:asciiTheme="minorHAnsi" w:hAnsiTheme="minorHAnsi" w:cstheme="minorHAnsi"/>
                <w:b/>
                <w:color w:val="244061" w:themeColor="accent1" w:themeShade="80"/>
              </w:rPr>
              <w:t>Group</w:t>
            </w:r>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BE5299" w:rsidRDefault="00BA1F60" w:rsidP="00380396">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 xml:space="preserve">SEIFA 2006 IRSD </w:t>
            </w:r>
            <w:proofErr w:type="spellStart"/>
            <w:r w:rsidRPr="00BE5299">
              <w:rPr>
                <w:rFonts w:asciiTheme="minorHAnsi" w:hAnsiTheme="minorHAnsi" w:cstheme="minorHAnsi"/>
                <w:b/>
                <w:color w:val="244061" w:themeColor="accent1" w:themeShade="80"/>
              </w:rPr>
              <w:t>Decile</w:t>
            </w:r>
            <w:proofErr w:type="spellEnd"/>
          </w:p>
        </w:tc>
        <w:tc>
          <w:tcPr>
            <w:tcW w:w="1134"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BE5299" w:rsidRDefault="00BA1F60" w:rsidP="00380396">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Resident Pop</w:t>
            </w:r>
            <w:r>
              <w:rPr>
                <w:rFonts w:asciiTheme="minorHAnsi" w:hAnsiTheme="minorHAnsi" w:cstheme="minorHAnsi"/>
                <w:b/>
                <w:color w:val="244061" w:themeColor="accent1" w:themeShade="80"/>
              </w:rPr>
              <w:t xml:space="preserve">. </w:t>
            </w:r>
            <w:r w:rsidRPr="00BE5299">
              <w:rPr>
                <w:rFonts w:asciiTheme="minorHAnsi" w:hAnsiTheme="minorHAnsi" w:cstheme="minorHAnsi"/>
                <w:b/>
                <w:color w:val="244061" w:themeColor="accent1" w:themeShade="80"/>
              </w:rPr>
              <w:t>aged 15-64</w:t>
            </w:r>
          </w:p>
        </w:tc>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BA1F60" w:rsidRPr="00BE5299" w:rsidRDefault="00BA1F60" w:rsidP="00380396">
            <w:pPr>
              <w:spacing w:after="80"/>
              <w:jc w:val="center"/>
              <w:cnfStyle w:val="100000000000"/>
              <w:rPr>
                <w:rFonts w:asciiTheme="minorHAnsi" w:hAnsiTheme="minorHAnsi" w:cstheme="minorHAnsi"/>
                <w:b/>
                <w:color w:val="244061" w:themeColor="accent1" w:themeShade="80"/>
              </w:rPr>
            </w:pPr>
            <w:r w:rsidRPr="00BE5299">
              <w:rPr>
                <w:rFonts w:asciiTheme="minorHAnsi" w:hAnsiTheme="minorHAnsi" w:cstheme="minorHAnsi"/>
                <w:b/>
                <w:color w:val="244061" w:themeColor="accent1" w:themeShade="80"/>
              </w:rPr>
              <w:t>Usual Resident Pop</w:t>
            </w:r>
            <w:r>
              <w:rPr>
                <w:rFonts w:asciiTheme="minorHAnsi" w:hAnsiTheme="minorHAnsi" w:cstheme="minorHAnsi"/>
                <w:b/>
                <w:color w:val="244061" w:themeColor="accent1" w:themeShade="80"/>
              </w:rPr>
              <w:t>.</w:t>
            </w:r>
            <w:r w:rsidRPr="00BE5299">
              <w:rPr>
                <w:rFonts w:asciiTheme="minorHAnsi" w:hAnsiTheme="minorHAnsi" w:cstheme="minorHAnsi"/>
                <w:b/>
                <w:color w:val="244061" w:themeColor="accent1" w:themeShade="80"/>
              </w:rPr>
              <w:t xml:space="preserve"> (all ages)</w:t>
            </w:r>
          </w:p>
        </w:tc>
      </w:tr>
      <w:tr w:rsidR="00BA1F60" w:rsidRPr="004D46A0" w:rsidTr="00BA1F60">
        <w:trPr>
          <w:cnfStyle w:val="000000100000"/>
          <w:trHeight w:val="418"/>
        </w:trPr>
        <w:tc>
          <w:tcPr>
            <w:cnfStyle w:val="001000000000"/>
            <w:tcW w:w="1101" w:type="dxa"/>
            <w:vMerge/>
            <w:tcBorders>
              <w:left w:val="single" w:sz="4" w:space="0" w:color="31849B" w:themeColor="accent5" w:themeShade="BF"/>
              <w:bottom w:val="single" w:sz="8" w:space="0" w:color="4BACC6" w:themeColor="accent5"/>
              <w:right w:val="single" w:sz="4" w:space="0" w:color="31849B" w:themeColor="accent5" w:themeShade="BF"/>
            </w:tcBorders>
          </w:tcPr>
          <w:p w:rsidR="00BA1F60" w:rsidRPr="00BE5299" w:rsidRDefault="00BA1F60" w:rsidP="00380396">
            <w:pPr>
              <w:spacing w:after="80"/>
              <w:jc w:val="center"/>
              <w:rPr>
                <w:rFonts w:cstheme="minorHAnsi"/>
                <w:color w:val="244061" w:themeColor="accent1" w:themeShade="80"/>
              </w:rPr>
            </w:pPr>
          </w:p>
        </w:tc>
        <w:tc>
          <w:tcPr>
            <w:tcW w:w="1842"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380396">
            <w:pPr>
              <w:spacing w:after="80"/>
              <w:jc w:val="center"/>
              <w:cnfStyle w:val="000000100000"/>
              <w:rPr>
                <w:rFonts w:cstheme="minorHAnsi"/>
                <w:color w:val="244061" w:themeColor="accent1" w:themeShade="80"/>
              </w:rPr>
            </w:pP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380396">
            <w:pPr>
              <w:spacing w:after="80"/>
              <w:jc w:val="center"/>
              <w:cnfStyle w:val="000000100000"/>
              <w:rPr>
                <w:rFonts w:cstheme="minorHAnsi"/>
                <w:b/>
              </w:rPr>
            </w:pPr>
            <w:r w:rsidRPr="00BE5299">
              <w:rPr>
                <w:rFonts w:cstheme="minorHAnsi"/>
                <w:b/>
              </w:rPr>
              <w:t>1</w:t>
            </w: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380396">
            <w:pPr>
              <w:spacing w:after="80"/>
              <w:jc w:val="center"/>
              <w:cnfStyle w:val="000000100000"/>
              <w:rPr>
                <w:rFonts w:cstheme="minorHAnsi"/>
                <w:b/>
              </w:rPr>
            </w:pPr>
            <w:r w:rsidRPr="00BE5299">
              <w:rPr>
                <w:rFonts w:cstheme="minorHAnsi"/>
                <w:b/>
              </w:rPr>
              <w:t>2</w:t>
            </w:r>
          </w:p>
        </w:tc>
        <w:tc>
          <w:tcPr>
            <w:tcW w:w="709"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380396">
            <w:pPr>
              <w:spacing w:after="80"/>
              <w:jc w:val="center"/>
              <w:cnfStyle w:val="000000100000"/>
              <w:rPr>
                <w:rFonts w:cstheme="minorHAnsi"/>
                <w:b/>
              </w:rPr>
            </w:pPr>
            <w:r w:rsidRPr="00BE5299">
              <w:rPr>
                <w:rFonts w:cstheme="minorHAnsi"/>
                <w:b/>
              </w:rPr>
              <w:t>3</w:t>
            </w:r>
          </w:p>
        </w:tc>
        <w:tc>
          <w:tcPr>
            <w:tcW w:w="708" w:type="dxa"/>
            <w:tcBorders>
              <w:top w:val="single" w:sz="4" w:space="0" w:color="31849B" w:themeColor="accent5" w:themeShade="BF"/>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BE5299" w:rsidRDefault="00BA1F60" w:rsidP="00380396">
            <w:pPr>
              <w:spacing w:after="80"/>
              <w:jc w:val="center"/>
              <w:cnfStyle w:val="000000100000"/>
              <w:rPr>
                <w:rFonts w:cstheme="minorHAnsi"/>
                <w:b/>
              </w:rPr>
            </w:pPr>
            <w:r w:rsidRPr="00BE5299">
              <w:rPr>
                <w:rFonts w:cstheme="minorHAnsi"/>
                <w:b/>
              </w:rPr>
              <w:t>4</w:t>
            </w: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A578B7" w:rsidRDefault="00BA1F60" w:rsidP="00380396">
            <w:pPr>
              <w:spacing w:before="80" w:after="80"/>
              <w:jc w:val="center"/>
              <w:cnfStyle w:val="000000100000"/>
              <w:rPr>
                <w:rFonts w:cstheme="minorHAnsi"/>
                <w:b/>
              </w:rPr>
            </w:pPr>
          </w:p>
        </w:tc>
        <w:tc>
          <w:tcPr>
            <w:tcW w:w="1134"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A578B7" w:rsidRDefault="00BA1F60" w:rsidP="00380396">
            <w:pPr>
              <w:spacing w:before="80" w:after="80"/>
              <w:jc w:val="center"/>
              <w:cnfStyle w:val="000000100000"/>
              <w:rPr>
                <w:rFonts w:cstheme="minorHAnsi"/>
                <w:b/>
              </w:rPr>
            </w:pPr>
          </w:p>
        </w:tc>
        <w:tc>
          <w:tcPr>
            <w:tcW w:w="1276" w:type="dxa"/>
            <w:vMerge/>
            <w:tcBorders>
              <w:left w:val="single" w:sz="4" w:space="0" w:color="31849B" w:themeColor="accent5" w:themeShade="BF"/>
              <w:bottom w:val="single" w:sz="8" w:space="0" w:color="4BACC6" w:themeColor="accent5"/>
              <w:right w:val="single" w:sz="4" w:space="0" w:color="31849B" w:themeColor="accent5" w:themeShade="BF"/>
            </w:tcBorders>
            <w:vAlign w:val="bottom"/>
          </w:tcPr>
          <w:p w:rsidR="00BA1F60" w:rsidRPr="00A578B7" w:rsidRDefault="00BA1F60" w:rsidP="00380396">
            <w:pPr>
              <w:spacing w:before="80" w:after="80"/>
              <w:jc w:val="center"/>
              <w:cnfStyle w:val="000000100000"/>
              <w:rPr>
                <w:rFonts w:cstheme="minorHAnsi"/>
                <w:b/>
              </w:rPr>
            </w:pPr>
          </w:p>
        </w:tc>
      </w:tr>
      <w:tr w:rsidR="00BA1F60" w:rsidRPr="004D46A0" w:rsidTr="00BA1F60">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8010105</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000000"/>
              <w:rPr>
                <w:rFonts w:ascii="Calibri" w:hAnsi="Calibri" w:cs="Calibri"/>
                <w:color w:val="244061" w:themeColor="accent1" w:themeShade="80"/>
              </w:rPr>
            </w:pPr>
            <w:proofErr w:type="spellStart"/>
            <w:r w:rsidRPr="00F604BB">
              <w:rPr>
                <w:rFonts w:ascii="Calibri" w:hAnsi="Calibri" w:cs="Calibri"/>
                <w:color w:val="244061" w:themeColor="accent1" w:themeShade="80"/>
              </w:rPr>
              <w:t>Fyshwick</w:t>
            </w:r>
            <w:proofErr w:type="spellEnd"/>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41%</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16%</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56</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54</w:t>
            </w:r>
          </w:p>
        </w:tc>
      </w:tr>
      <w:tr w:rsidR="00BA1F60" w:rsidRPr="004D46A0" w:rsidTr="00BA1F60">
        <w:trPr>
          <w:cnfStyle w:val="000000100000"/>
          <w:trHeight w:val="275"/>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8024001</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100000"/>
              <w:rPr>
                <w:rFonts w:ascii="Calibri" w:hAnsi="Calibri" w:cs="Calibri"/>
                <w:color w:val="244061" w:themeColor="accent1" w:themeShade="80"/>
              </w:rPr>
            </w:pPr>
            <w:r w:rsidRPr="00F604BB">
              <w:rPr>
                <w:rFonts w:ascii="Calibri" w:hAnsi="Calibri" w:cs="Calibri"/>
                <w:color w:val="244061" w:themeColor="accent1" w:themeShade="80"/>
              </w:rPr>
              <w:t>Unclassified ACT</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9C0006"/>
              </w:rPr>
            </w:pPr>
            <w:r>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33%</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18%</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41</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56</w:t>
            </w:r>
          </w:p>
        </w:tc>
      </w:tr>
      <w:tr w:rsidR="00BA1F60" w:rsidRPr="004D46A0" w:rsidTr="00BA1F60">
        <w:trPr>
          <w:trHeight w:val="275"/>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8010108</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000000"/>
              <w:rPr>
                <w:rFonts w:ascii="Calibri" w:hAnsi="Calibri" w:cs="Calibri"/>
                <w:color w:val="244061" w:themeColor="accent1" w:themeShade="80"/>
              </w:rPr>
            </w:pPr>
            <w:proofErr w:type="spellStart"/>
            <w:r w:rsidRPr="00F604BB">
              <w:rPr>
                <w:rFonts w:ascii="Calibri" w:hAnsi="Calibri" w:cs="Calibri"/>
                <w:color w:val="244061" w:themeColor="accent1" w:themeShade="80"/>
              </w:rPr>
              <w:t>Pialligo</w:t>
            </w:r>
            <w:proofErr w:type="spellEnd"/>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6%</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21%</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38%</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9C0006"/>
              </w:rPr>
            </w:pPr>
            <w:r>
              <w:rPr>
                <w:rFonts w:ascii="Calibri" w:hAnsi="Calibri" w:cs="Calibri"/>
                <w:color w:val="9C0006"/>
              </w:rPr>
              <w:t>35%</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10</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90</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111</w:t>
            </w:r>
          </w:p>
        </w:tc>
      </w:tr>
      <w:tr w:rsidR="00BA1F60" w:rsidRPr="004D46A0" w:rsidTr="00BA1F60">
        <w:trPr>
          <w:cnfStyle w:val="000000100000"/>
          <w:trHeight w:val="275"/>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8023604</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100000"/>
              <w:rPr>
                <w:rFonts w:ascii="Calibri" w:hAnsi="Calibri" w:cs="Calibri"/>
                <w:color w:val="244061" w:themeColor="accent1" w:themeShade="80"/>
              </w:rPr>
            </w:pPr>
            <w:r w:rsidRPr="00F604BB">
              <w:rPr>
                <w:rFonts w:ascii="Calibri" w:hAnsi="Calibri" w:cs="Calibri"/>
                <w:color w:val="244061" w:themeColor="accent1" w:themeShade="80"/>
              </w:rPr>
              <w:t>Isabella Plains</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17%</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21%</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34%</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28%</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491</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677</w:t>
            </w:r>
          </w:p>
        </w:tc>
      </w:tr>
      <w:tr w:rsidR="00BA1F60" w:rsidRPr="004D46A0" w:rsidTr="00BA1F60">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8023605</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000000"/>
              <w:rPr>
                <w:rFonts w:ascii="Calibri" w:hAnsi="Calibri" w:cs="Calibri"/>
                <w:color w:val="244061" w:themeColor="accent1" w:themeShade="80"/>
              </w:rPr>
            </w:pPr>
            <w:r w:rsidRPr="00F604BB">
              <w:rPr>
                <w:rFonts w:ascii="Calibri" w:hAnsi="Calibri" w:cs="Calibri"/>
                <w:color w:val="244061" w:themeColor="accent1" w:themeShade="80"/>
              </w:rPr>
              <w:t>Isabella Plains</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21%</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38%</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25%</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557</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783</w:t>
            </w:r>
          </w:p>
        </w:tc>
      </w:tr>
      <w:tr w:rsidR="00BA1F60" w:rsidRPr="004D46A0" w:rsidTr="00BA1F60">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8023103</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100000"/>
              <w:rPr>
                <w:rFonts w:ascii="Calibri" w:hAnsi="Calibri" w:cs="Calibri"/>
                <w:color w:val="244061" w:themeColor="accent1" w:themeShade="80"/>
              </w:rPr>
            </w:pPr>
            <w:r w:rsidRPr="00F604BB">
              <w:rPr>
                <w:rFonts w:ascii="Calibri" w:hAnsi="Calibri" w:cs="Calibri"/>
                <w:color w:val="244061" w:themeColor="accent1" w:themeShade="80"/>
              </w:rPr>
              <w:t>Richardson</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19%</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21%</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34%</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26%</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486</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660</w:t>
            </w:r>
          </w:p>
        </w:tc>
      </w:tr>
      <w:tr w:rsidR="00BA1F60" w:rsidRPr="004D46A0" w:rsidTr="00BA1F60">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8021411</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000000"/>
              <w:rPr>
                <w:rFonts w:ascii="Calibri" w:hAnsi="Calibri" w:cs="Calibri"/>
                <w:color w:val="244061" w:themeColor="accent1" w:themeShade="80"/>
              </w:rPr>
            </w:pPr>
            <w:r w:rsidRPr="00F604BB">
              <w:rPr>
                <w:rFonts w:ascii="Calibri" w:hAnsi="Calibri" w:cs="Calibri"/>
                <w:color w:val="244061" w:themeColor="accent1" w:themeShade="80"/>
              </w:rPr>
              <w:t>Banks</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19%</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35%</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26%</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434</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656</w:t>
            </w:r>
          </w:p>
        </w:tc>
      </w:tr>
      <w:tr w:rsidR="00BA1F60" w:rsidRPr="004D46A0" w:rsidTr="00BA1F60">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8024402</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100000"/>
              <w:rPr>
                <w:rFonts w:ascii="Calibri" w:hAnsi="Calibri" w:cs="Calibri"/>
                <w:color w:val="244061" w:themeColor="accent1" w:themeShade="80"/>
              </w:rPr>
            </w:pPr>
            <w:r w:rsidRPr="00F604BB">
              <w:rPr>
                <w:rFonts w:ascii="Calibri" w:hAnsi="Calibri" w:cs="Calibri"/>
                <w:color w:val="244061" w:themeColor="accent1" w:themeShade="80"/>
              </w:rPr>
              <w:t>Gordon</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40%</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9C0006"/>
              </w:rPr>
            </w:pPr>
            <w:r>
              <w:rPr>
                <w:rFonts w:ascii="Calibri" w:hAnsi="Calibri" w:cs="Calibri"/>
                <w:color w:val="9C0006"/>
              </w:rPr>
              <w:t>30%</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447</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708</w:t>
            </w:r>
          </w:p>
        </w:tc>
      </w:tr>
      <w:tr w:rsidR="00BA1F60" w:rsidRPr="004D46A0" w:rsidTr="00BA1F60">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8011205</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000000"/>
              <w:rPr>
                <w:rFonts w:ascii="Calibri" w:hAnsi="Calibri" w:cs="Calibri"/>
                <w:color w:val="244061" w:themeColor="accent1" w:themeShade="80"/>
              </w:rPr>
            </w:pPr>
            <w:r w:rsidRPr="00F604BB">
              <w:rPr>
                <w:rFonts w:ascii="Calibri" w:hAnsi="Calibri" w:cs="Calibri"/>
                <w:color w:val="244061" w:themeColor="accent1" w:themeShade="80"/>
              </w:rPr>
              <w:t>Dunlop</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13%</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38%</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29%</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799</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1178</w:t>
            </w:r>
          </w:p>
        </w:tc>
      </w:tr>
      <w:tr w:rsidR="00BA1F60" w:rsidRPr="004D46A0" w:rsidTr="00BA1F60">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8010110</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100000"/>
              <w:rPr>
                <w:rFonts w:ascii="Calibri" w:hAnsi="Calibri" w:cs="Calibri"/>
                <w:color w:val="244061" w:themeColor="accent1" w:themeShade="80"/>
              </w:rPr>
            </w:pPr>
            <w:r w:rsidRPr="00F604BB">
              <w:rPr>
                <w:rFonts w:ascii="Calibri" w:hAnsi="Calibri" w:cs="Calibri"/>
                <w:color w:val="244061" w:themeColor="accent1" w:themeShade="80"/>
              </w:rPr>
              <w:t>Bonner</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50%</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20%</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6</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8</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100000"/>
              <w:rPr>
                <w:rFonts w:ascii="Calibri" w:hAnsi="Calibri" w:cs="Calibri"/>
                <w:color w:val="000000"/>
              </w:rPr>
            </w:pPr>
            <w:r>
              <w:rPr>
                <w:rFonts w:ascii="Calibri" w:hAnsi="Calibri" w:cs="Calibri"/>
                <w:color w:val="000000"/>
              </w:rPr>
              <w:t>17</w:t>
            </w:r>
          </w:p>
        </w:tc>
      </w:tr>
      <w:tr w:rsidR="00BA1F60" w:rsidRPr="004D46A0" w:rsidTr="00BA1F60">
        <w:trPr>
          <w:trHeight w:val="293"/>
        </w:trPr>
        <w:tc>
          <w:tcPr>
            <w:cnfStyle w:val="001000000000"/>
            <w:tcW w:w="1101" w:type="dxa"/>
            <w:tcBorders>
              <w:left w:val="single" w:sz="4" w:space="0" w:color="31849B" w:themeColor="accent5" w:themeShade="BF"/>
              <w:right w:val="single" w:sz="4" w:space="0" w:color="31849B" w:themeColor="accent5" w:themeShade="BF"/>
            </w:tcBorders>
            <w:vAlign w:val="bottom"/>
          </w:tcPr>
          <w:p w:rsidR="00BA1F60" w:rsidRPr="0088604F" w:rsidRDefault="00BA1F60">
            <w:pPr>
              <w:jc w:val="right"/>
              <w:rPr>
                <w:rFonts w:ascii="Calibri" w:hAnsi="Calibri" w:cs="Calibri"/>
                <w:b w:val="0"/>
                <w:color w:val="244061" w:themeColor="accent1" w:themeShade="80"/>
              </w:rPr>
            </w:pPr>
            <w:r w:rsidRPr="0088604F">
              <w:rPr>
                <w:rFonts w:ascii="Calibri" w:hAnsi="Calibri" w:cs="Calibri"/>
                <w:b w:val="0"/>
                <w:color w:val="244061" w:themeColor="accent1" w:themeShade="80"/>
              </w:rPr>
              <w:t>8023003</w:t>
            </w:r>
          </w:p>
        </w:tc>
        <w:tc>
          <w:tcPr>
            <w:tcW w:w="1842" w:type="dxa"/>
            <w:tcBorders>
              <w:left w:val="single" w:sz="4" w:space="0" w:color="31849B" w:themeColor="accent5" w:themeShade="BF"/>
              <w:right w:val="single" w:sz="4" w:space="0" w:color="31849B" w:themeColor="accent5" w:themeShade="BF"/>
            </w:tcBorders>
            <w:vAlign w:val="bottom"/>
          </w:tcPr>
          <w:p w:rsidR="00BA1F60" w:rsidRPr="00F604BB" w:rsidRDefault="00BA1F60">
            <w:pPr>
              <w:cnfStyle w:val="000000000000"/>
              <w:rPr>
                <w:rFonts w:ascii="Calibri" w:hAnsi="Calibri" w:cs="Calibri"/>
                <w:color w:val="244061" w:themeColor="accent1" w:themeShade="80"/>
              </w:rPr>
            </w:pPr>
            <w:r w:rsidRPr="00F604BB">
              <w:rPr>
                <w:rFonts w:ascii="Calibri" w:hAnsi="Calibri" w:cs="Calibri"/>
                <w:color w:val="244061" w:themeColor="accent1" w:themeShade="80"/>
              </w:rPr>
              <w:t>Chisholm</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13%</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20%</w:t>
            </w:r>
          </w:p>
        </w:tc>
        <w:tc>
          <w:tcPr>
            <w:tcW w:w="709"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41%</w:t>
            </w:r>
          </w:p>
        </w:tc>
        <w:tc>
          <w:tcPr>
            <w:tcW w:w="708"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27%</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7</w:t>
            </w:r>
          </w:p>
        </w:tc>
        <w:tc>
          <w:tcPr>
            <w:tcW w:w="1134"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658</w:t>
            </w:r>
          </w:p>
        </w:tc>
        <w:tc>
          <w:tcPr>
            <w:tcW w:w="1276" w:type="dxa"/>
            <w:tcBorders>
              <w:left w:val="single" w:sz="4" w:space="0" w:color="31849B" w:themeColor="accent5" w:themeShade="BF"/>
              <w:right w:val="single" w:sz="4" w:space="0" w:color="31849B" w:themeColor="accent5" w:themeShade="BF"/>
            </w:tcBorders>
            <w:vAlign w:val="bottom"/>
          </w:tcPr>
          <w:p w:rsidR="00BA1F60" w:rsidRDefault="00BA1F60" w:rsidP="00BA1F60">
            <w:pPr>
              <w:jc w:val="center"/>
              <w:cnfStyle w:val="000000000000"/>
              <w:rPr>
                <w:rFonts w:ascii="Calibri" w:hAnsi="Calibri" w:cs="Calibri"/>
                <w:color w:val="000000"/>
              </w:rPr>
            </w:pPr>
            <w:r>
              <w:rPr>
                <w:rFonts w:ascii="Calibri" w:hAnsi="Calibri" w:cs="Calibri"/>
                <w:color w:val="000000"/>
              </w:rPr>
              <w:t>915</w:t>
            </w:r>
          </w:p>
        </w:tc>
      </w:tr>
    </w:tbl>
    <w:p w:rsidR="003C49E9" w:rsidRDefault="003C49E9" w:rsidP="003C49E9">
      <w:pPr>
        <w:pStyle w:val="ListParagraph"/>
        <w:ind w:left="1134"/>
        <w:rPr>
          <w:b/>
          <w:color w:val="244061" w:themeColor="accent1" w:themeShade="80"/>
        </w:rPr>
      </w:pPr>
    </w:p>
    <w:p w:rsidR="003C49E9" w:rsidRDefault="003C49E9">
      <w:pPr>
        <w:rPr>
          <w:b/>
          <w:color w:val="244061" w:themeColor="accent1" w:themeShade="80"/>
        </w:rPr>
      </w:pPr>
      <w:r>
        <w:rPr>
          <w:b/>
          <w:color w:val="244061" w:themeColor="accent1" w:themeShade="80"/>
        </w:rPr>
        <w:br w:type="page"/>
      </w:r>
    </w:p>
    <w:p w:rsidR="00415AE6" w:rsidRPr="009E4B21" w:rsidRDefault="00740F66" w:rsidP="00F03282">
      <w:pPr>
        <w:pStyle w:val="ListParagraph"/>
        <w:numPr>
          <w:ilvl w:val="0"/>
          <w:numId w:val="43"/>
        </w:numPr>
        <w:ind w:left="1134" w:hanging="1134"/>
        <w:rPr>
          <w:b/>
          <w:color w:val="244061" w:themeColor="accent1" w:themeShade="80"/>
        </w:rPr>
      </w:pPr>
      <w:r w:rsidRPr="009E4B21">
        <w:rPr>
          <w:b/>
          <w:color w:val="244061" w:themeColor="accent1" w:themeShade="80"/>
        </w:rPr>
        <w:lastRenderedPageBreak/>
        <w:t xml:space="preserve">CDs with </w:t>
      </w:r>
      <w:r w:rsidR="00C96394">
        <w:rPr>
          <w:b/>
          <w:color w:val="244061" w:themeColor="accent1" w:themeShade="80"/>
        </w:rPr>
        <w:t xml:space="preserve">more than </w:t>
      </w:r>
      <w:r w:rsidRPr="009E4B21">
        <w:rPr>
          <w:b/>
          <w:color w:val="244061" w:themeColor="accent1" w:themeShade="80"/>
        </w:rPr>
        <w:t>in Group 1 SEIFI</w:t>
      </w:r>
      <w:r w:rsidR="00410661" w:rsidRPr="00410661">
        <w:rPr>
          <w:b/>
          <w:color w:val="244061" w:themeColor="accent1" w:themeShade="80"/>
        </w:rPr>
        <w:t xml:space="preserve"> </w:t>
      </w:r>
      <w:r w:rsidR="00410661">
        <w:rPr>
          <w:b/>
          <w:color w:val="244061" w:themeColor="accent1" w:themeShade="80"/>
        </w:rPr>
        <w:t>IRSD</w:t>
      </w:r>
      <w:r w:rsidRPr="009E4B21">
        <w:rPr>
          <w:b/>
          <w:color w:val="244061" w:themeColor="accent1" w:themeShade="80"/>
        </w:rPr>
        <w:t xml:space="preserve"> in suburbs with SEIFA </w:t>
      </w:r>
      <w:r w:rsidR="00410661">
        <w:rPr>
          <w:b/>
          <w:color w:val="244061" w:themeColor="accent1" w:themeShade="80"/>
        </w:rPr>
        <w:t xml:space="preserve">IRSD </w:t>
      </w:r>
      <w:r w:rsidRPr="009E4B21">
        <w:rPr>
          <w:b/>
          <w:color w:val="244061" w:themeColor="accent1" w:themeShade="80"/>
        </w:rPr>
        <w:t>of 8 or higher (15-64 year old population)</w:t>
      </w:r>
      <w:r w:rsidR="00216D84">
        <w:rPr>
          <w:rStyle w:val="FootnoteReference"/>
          <w:b/>
          <w:color w:val="244061" w:themeColor="accent1" w:themeShade="80"/>
        </w:rPr>
        <w:footnoteReference w:id="2"/>
      </w:r>
    </w:p>
    <w:tbl>
      <w:tblPr>
        <w:tblStyle w:val="MediumList1-Accent5"/>
        <w:tblW w:w="9747" w:type="dxa"/>
        <w:tblLayout w:type="fixed"/>
        <w:tblLook w:val="04A0"/>
      </w:tblPr>
      <w:tblGrid>
        <w:gridCol w:w="1101"/>
        <w:gridCol w:w="1701"/>
        <w:gridCol w:w="708"/>
        <w:gridCol w:w="709"/>
        <w:gridCol w:w="709"/>
        <w:gridCol w:w="709"/>
        <w:gridCol w:w="850"/>
        <w:gridCol w:w="992"/>
        <w:gridCol w:w="1134"/>
        <w:gridCol w:w="1134"/>
      </w:tblGrid>
      <w:tr w:rsidR="009E4B21" w:rsidRPr="004D46A0" w:rsidTr="00C55420">
        <w:trPr>
          <w:cnfStyle w:val="100000000000"/>
          <w:trHeight w:val="869"/>
        </w:trPr>
        <w:tc>
          <w:tcPr>
            <w:cnfStyle w:val="001000000000"/>
            <w:tcW w:w="110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E4B21" w:rsidRPr="00E720A2" w:rsidRDefault="009E4B21" w:rsidP="00E720A2">
            <w:pPr>
              <w:spacing w:after="80"/>
              <w:jc w:val="center"/>
              <w:rPr>
                <w:rFonts w:asciiTheme="minorHAnsi" w:hAnsiTheme="minorHAnsi" w:cstheme="minorHAnsi"/>
                <w:color w:val="244061" w:themeColor="accent1" w:themeShade="80"/>
              </w:rPr>
            </w:pPr>
            <w:r w:rsidRPr="00E720A2">
              <w:rPr>
                <w:rFonts w:asciiTheme="minorHAnsi" w:hAnsiTheme="minorHAnsi" w:cstheme="minorHAnsi"/>
                <w:color w:val="244061" w:themeColor="accent1" w:themeShade="80"/>
              </w:rPr>
              <w:t>CD code</w:t>
            </w:r>
          </w:p>
        </w:tc>
        <w:tc>
          <w:tcPr>
            <w:tcW w:w="1701"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E4B21"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Suburb</w:t>
            </w:r>
          </w:p>
        </w:tc>
        <w:tc>
          <w:tcPr>
            <w:tcW w:w="2835" w:type="dxa"/>
            <w:gridSpan w:val="4"/>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E4B21"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 xml:space="preserve">% of population by SEIFI </w:t>
            </w:r>
            <w:r w:rsidR="00410661" w:rsidRPr="00410661">
              <w:rPr>
                <w:rFonts w:asciiTheme="minorHAnsi" w:hAnsiTheme="minorHAnsi" w:cstheme="minorHAnsi"/>
                <w:b/>
                <w:bCs/>
                <w:color w:val="244061" w:themeColor="accent1" w:themeShade="80"/>
              </w:rPr>
              <w:t xml:space="preserve">IRSD </w:t>
            </w:r>
            <w:r w:rsidRPr="00E720A2">
              <w:rPr>
                <w:rFonts w:asciiTheme="minorHAnsi" w:hAnsiTheme="minorHAnsi" w:cstheme="minorHAnsi"/>
                <w:b/>
                <w:bCs/>
                <w:color w:val="244061" w:themeColor="accent1" w:themeShade="80"/>
              </w:rPr>
              <w:t>Group</w:t>
            </w:r>
          </w:p>
        </w:tc>
        <w:tc>
          <w:tcPr>
            <w:tcW w:w="850"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E4B21"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 xml:space="preserve">CD SEIFA 2006 IRSD </w:t>
            </w:r>
            <w:proofErr w:type="spellStart"/>
            <w:r w:rsidRPr="00E720A2">
              <w:rPr>
                <w:rFonts w:asciiTheme="minorHAnsi" w:hAnsiTheme="minorHAnsi" w:cstheme="minorHAnsi"/>
                <w:b/>
                <w:bCs/>
                <w:color w:val="244061" w:themeColor="accent1" w:themeShade="80"/>
              </w:rPr>
              <w:t>Decile</w:t>
            </w:r>
            <w:proofErr w:type="spellEnd"/>
          </w:p>
        </w:tc>
        <w:tc>
          <w:tcPr>
            <w:tcW w:w="992"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E4B21"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 xml:space="preserve">Suburb SEIFA 2006 IRSD </w:t>
            </w:r>
            <w:proofErr w:type="spellStart"/>
            <w:r w:rsidRPr="00E720A2">
              <w:rPr>
                <w:rFonts w:asciiTheme="minorHAnsi" w:hAnsiTheme="minorHAnsi" w:cstheme="minorHAnsi"/>
                <w:b/>
                <w:bCs/>
                <w:color w:val="244061" w:themeColor="accent1" w:themeShade="80"/>
              </w:rPr>
              <w:t>Decile</w:t>
            </w:r>
            <w:proofErr w:type="spellEnd"/>
          </w:p>
        </w:tc>
        <w:tc>
          <w:tcPr>
            <w:tcW w:w="1134"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9E4B21"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Resident Pop. aged 15-64</w:t>
            </w:r>
          </w:p>
        </w:tc>
        <w:tc>
          <w:tcPr>
            <w:tcW w:w="1134"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8153AA"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Usual Resident Pop.</w:t>
            </w:r>
          </w:p>
          <w:p w:rsidR="009E4B21" w:rsidRPr="00E720A2" w:rsidRDefault="009E4B21" w:rsidP="00E720A2">
            <w:pPr>
              <w:spacing w:after="80"/>
              <w:jc w:val="center"/>
              <w:cnfStyle w:val="100000000000"/>
              <w:rPr>
                <w:rFonts w:asciiTheme="minorHAnsi" w:hAnsiTheme="minorHAnsi" w:cstheme="minorHAnsi"/>
                <w:b/>
                <w:bCs/>
                <w:color w:val="244061" w:themeColor="accent1" w:themeShade="80"/>
              </w:rPr>
            </w:pPr>
            <w:r w:rsidRPr="00E720A2">
              <w:rPr>
                <w:rFonts w:asciiTheme="minorHAnsi" w:hAnsiTheme="minorHAnsi" w:cstheme="minorHAnsi"/>
                <w:b/>
                <w:bCs/>
                <w:color w:val="244061" w:themeColor="accent1" w:themeShade="80"/>
              </w:rPr>
              <w:t>(all ages)</w:t>
            </w:r>
          </w:p>
        </w:tc>
      </w:tr>
      <w:tr w:rsidR="009E4B21" w:rsidRPr="004D46A0" w:rsidTr="00C55420">
        <w:trPr>
          <w:cnfStyle w:val="000000100000"/>
          <w:trHeight w:val="418"/>
        </w:trPr>
        <w:tc>
          <w:tcPr>
            <w:cnfStyle w:val="001000000000"/>
            <w:tcW w:w="1101"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9E4B21" w:rsidRPr="00FA00AF" w:rsidRDefault="009E4B21" w:rsidP="00FA00AF">
            <w:pPr>
              <w:jc w:val="center"/>
              <w:rPr>
                <w:rFonts w:cstheme="minorHAnsi"/>
                <w:color w:val="244061" w:themeColor="accent1" w:themeShade="80"/>
                <w:sz w:val="20"/>
                <w:szCs w:val="20"/>
              </w:rPr>
            </w:pPr>
          </w:p>
        </w:tc>
        <w:tc>
          <w:tcPr>
            <w:tcW w:w="1701"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9E4B21" w:rsidRPr="00FA00AF" w:rsidRDefault="009E4B21" w:rsidP="00FA00AF">
            <w:pPr>
              <w:jc w:val="center"/>
              <w:cnfStyle w:val="000000100000"/>
              <w:rPr>
                <w:rFonts w:cstheme="minorHAnsi"/>
                <w:color w:val="244061" w:themeColor="accent1" w:themeShade="80"/>
                <w:sz w:val="20"/>
                <w:szCs w:val="20"/>
              </w:rPr>
            </w:pPr>
          </w:p>
        </w:tc>
        <w:tc>
          <w:tcPr>
            <w:tcW w:w="708" w:type="dxa"/>
            <w:tcBorders>
              <w:left w:val="single" w:sz="4" w:space="0" w:color="31849B" w:themeColor="accent5" w:themeShade="BF"/>
              <w:bottom w:val="single" w:sz="4" w:space="0" w:color="31849B" w:themeColor="accent5" w:themeShade="BF"/>
              <w:right w:val="single" w:sz="4" w:space="0" w:color="31849B" w:themeColor="accent5" w:themeShade="BF"/>
            </w:tcBorders>
            <w:vAlign w:val="center"/>
          </w:tcPr>
          <w:p w:rsidR="009E4B21" w:rsidRPr="00F604BB" w:rsidRDefault="009E4B21" w:rsidP="00C55420">
            <w:pPr>
              <w:spacing w:after="80"/>
              <w:jc w:val="center"/>
              <w:cnfStyle w:val="000000100000"/>
              <w:rPr>
                <w:rFonts w:cstheme="minorHAnsi"/>
                <w:b/>
              </w:rPr>
            </w:pPr>
            <w:r w:rsidRPr="00F604BB">
              <w:rPr>
                <w:rFonts w:cstheme="minorHAnsi"/>
                <w:b/>
              </w:rPr>
              <w:t>1</w:t>
            </w:r>
          </w:p>
        </w:tc>
        <w:tc>
          <w:tcPr>
            <w:tcW w:w="709" w:type="dxa"/>
            <w:tcBorders>
              <w:left w:val="single" w:sz="4" w:space="0" w:color="31849B" w:themeColor="accent5" w:themeShade="BF"/>
              <w:bottom w:val="single" w:sz="4" w:space="0" w:color="31849B" w:themeColor="accent5" w:themeShade="BF"/>
              <w:right w:val="single" w:sz="4" w:space="0" w:color="31849B" w:themeColor="accent5" w:themeShade="BF"/>
            </w:tcBorders>
            <w:vAlign w:val="center"/>
          </w:tcPr>
          <w:p w:rsidR="009E4B21" w:rsidRPr="00F604BB" w:rsidRDefault="009E4B21" w:rsidP="00C55420">
            <w:pPr>
              <w:spacing w:after="80"/>
              <w:jc w:val="center"/>
              <w:cnfStyle w:val="000000100000"/>
              <w:rPr>
                <w:rFonts w:cstheme="minorHAnsi"/>
                <w:b/>
              </w:rPr>
            </w:pPr>
            <w:r w:rsidRPr="00F604BB">
              <w:rPr>
                <w:rFonts w:cstheme="minorHAnsi"/>
                <w:b/>
              </w:rPr>
              <w:t>2</w:t>
            </w:r>
          </w:p>
        </w:tc>
        <w:tc>
          <w:tcPr>
            <w:tcW w:w="709" w:type="dxa"/>
            <w:tcBorders>
              <w:left w:val="single" w:sz="4" w:space="0" w:color="31849B" w:themeColor="accent5" w:themeShade="BF"/>
              <w:bottom w:val="single" w:sz="4" w:space="0" w:color="31849B" w:themeColor="accent5" w:themeShade="BF"/>
              <w:right w:val="single" w:sz="4" w:space="0" w:color="31849B" w:themeColor="accent5" w:themeShade="BF"/>
            </w:tcBorders>
            <w:vAlign w:val="center"/>
          </w:tcPr>
          <w:p w:rsidR="009E4B21" w:rsidRPr="00F604BB" w:rsidRDefault="009E4B21" w:rsidP="00C55420">
            <w:pPr>
              <w:spacing w:after="80"/>
              <w:jc w:val="center"/>
              <w:cnfStyle w:val="000000100000"/>
              <w:rPr>
                <w:rFonts w:cstheme="minorHAnsi"/>
                <w:b/>
              </w:rPr>
            </w:pPr>
            <w:r w:rsidRPr="00F604BB">
              <w:rPr>
                <w:rFonts w:cstheme="minorHAnsi"/>
                <w:b/>
              </w:rPr>
              <w:t>3</w:t>
            </w:r>
          </w:p>
        </w:tc>
        <w:tc>
          <w:tcPr>
            <w:tcW w:w="709" w:type="dxa"/>
            <w:tcBorders>
              <w:left w:val="single" w:sz="4" w:space="0" w:color="31849B" w:themeColor="accent5" w:themeShade="BF"/>
              <w:bottom w:val="single" w:sz="4" w:space="0" w:color="31849B" w:themeColor="accent5" w:themeShade="BF"/>
              <w:right w:val="single" w:sz="4" w:space="0" w:color="31849B" w:themeColor="accent5" w:themeShade="BF"/>
            </w:tcBorders>
            <w:vAlign w:val="center"/>
          </w:tcPr>
          <w:p w:rsidR="009E4B21" w:rsidRPr="00F604BB" w:rsidRDefault="009E4B21" w:rsidP="00C55420">
            <w:pPr>
              <w:spacing w:after="80"/>
              <w:jc w:val="center"/>
              <w:cnfStyle w:val="000000100000"/>
              <w:rPr>
                <w:rFonts w:cstheme="minorHAnsi"/>
                <w:b/>
              </w:rPr>
            </w:pPr>
            <w:r w:rsidRPr="00F604BB">
              <w:rPr>
                <w:rFonts w:cstheme="minorHAnsi"/>
                <w:b/>
              </w:rPr>
              <w:t>4</w:t>
            </w:r>
          </w:p>
        </w:tc>
        <w:tc>
          <w:tcPr>
            <w:tcW w:w="850" w:type="dxa"/>
            <w:vMerge/>
            <w:tcBorders>
              <w:left w:val="single" w:sz="4" w:space="0" w:color="31849B" w:themeColor="accent5" w:themeShade="BF"/>
              <w:bottom w:val="single" w:sz="4" w:space="0" w:color="31849B" w:themeColor="accent5" w:themeShade="BF"/>
              <w:right w:val="single" w:sz="4" w:space="0" w:color="31849B" w:themeColor="accent5" w:themeShade="BF"/>
            </w:tcBorders>
            <w:vAlign w:val="bottom"/>
          </w:tcPr>
          <w:p w:rsidR="009E4B21" w:rsidRPr="00FA00AF" w:rsidRDefault="009E4B21" w:rsidP="00E720A2">
            <w:pPr>
              <w:spacing w:before="80"/>
              <w:jc w:val="center"/>
              <w:cnfStyle w:val="000000100000"/>
              <w:rPr>
                <w:rFonts w:cstheme="minorHAnsi"/>
                <w:b/>
                <w:sz w:val="20"/>
                <w:szCs w:val="20"/>
              </w:rPr>
            </w:pPr>
          </w:p>
        </w:tc>
        <w:tc>
          <w:tcPr>
            <w:tcW w:w="992" w:type="dxa"/>
            <w:vMerge/>
            <w:tcBorders>
              <w:left w:val="single" w:sz="4" w:space="0" w:color="31849B" w:themeColor="accent5" w:themeShade="BF"/>
              <w:bottom w:val="single" w:sz="4" w:space="0" w:color="31849B" w:themeColor="accent5" w:themeShade="BF"/>
              <w:right w:val="single" w:sz="4" w:space="0" w:color="31849B" w:themeColor="accent5" w:themeShade="BF"/>
            </w:tcBorders>
            <w:vAlign w:val="bottom"/>
          </w:tcPr>
          <w:p w:rsidR="009E4B21" w:rsidRPr="00FA00AF" w:rsidRDefault="009E4B21" w:rsidP="00E720A2">
            <w:pPr>
              <w:spacing w:before="80"/>
              <w:jc w:val="center"/>
              <w:cnfStyle w:val="000000100000"/>
              <w:rPr>
                <w:rFonts w:cstheme="minorHAnsi"/>
                <w:b/>
                <w:sz w:val="20"/>
                <w:szCs w:val="20"/>
              </w:rPr>
            </w:pPr>
          </w:p>
        </w:tc>
        <w:tc>
          <w:tcPr>
            <w:tcW w:w="1134" w:type="dxa"/>
            <w:vMerge/>
            <w:tcBorders>
              <w:left w:val="single" w:sz="4" w:space="0" w:color="31849B" w:themeColor="accent5" w:themeShade="BF"/>
              <w:bottom w:val="single" w:sz="4" w:space="0" w:color="31849B" w:themeColor="accent5" w:themeShade="BF"/>
              <w:right w:val="single" w:sz="4" w:space="0" w:color="31849B" w:themeColor="accent5" w:themeShade="BF"/>
            </w:tcBorders>
            <w:vAlign w:val="bottom"/>
          </w:tcPr>
          <w:p w:rsidR="009E4B21" w:rsidRPr="00FA00AF" w:rsidRDefault="009E4B21" w:rsidP="00E720A2">
            <w:pPr>
              <w:spacing w:before="80"/>
              <w:jc w:val="center"/>
              <w:cnfStyle w:val="000000100000"/>
              <w:rPr>
                <w:rFonts w:cstheme="minorHAnsi"/>
                <w:b/>
                <w:sz w:val="20"/>
                <w:szCs w:val="20"/>
              </w:rPr>
            </w:pPr>
          </w:p>
        </w:tc>
        <w:tc>
          <w:tcPr>
            <w:tcW w:w="1134" w:type="dxa"/>
            <w:vMerge/>
            <w:tcBorders>
              <w:left w:val="single" w:sz="4" w:space="0" w:color="31849B" w:themeColor="accent5" w:themeShade="BF"/>
              <w:bottom w:val="single" w:sz="4" w:space="0" w:color="31849B" w:themeColor="accent5" w:themeShade="BF"/>
              <w:right w:val="single" w:sz="4" w:space="0" w:color="31849B" w:themeColor="accent5" w:themeShade="BF"/>
            </w:tcBorders>
            <w:vAlign w:val="bottom"/>
          </w:tcPr>
          <w:p w:rsidR="009E4B21" w:rsidRPr="00FA00AF" w:rsidRDefault="009E4B21" w:rsidP="00E720A2">
            <w:pPr>
              <w:spacing w:before="80"/>
              <w:jc w:val="center"/>
              <w:cnfStyle w:val="000000100000"/>
              <w:rPr>
                <w:rFonts w:cstheme="minorHAnsi"/>
                <w:b/>
                <w:sz w:val="20"/>
                <w:szCs w:val="20"/>
              </w:rPr>
            </w:pPr>
          </w:p>
        </w:tc>
      </w:tr>
      <w:tr w:rsidR="0008541F" w:rsidRPr="004D46A0" w:rsidTr="00E720A2">
        <w:trPr>
          <w:trHeight w:val="293"/>
        </w:trPr>
        <w:tc>
          <w:tcPr>
            <w:cnfStyle w:val="001000000000"/>
            <w:tcW w:w="1101" w:type="dxa"/>
            <w:tcBorders>
              <w:top w:val="single" w:sz="4" w:space="0" w:color="31849B" w:themeColor="accent5" w:themeShade="BF"/>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8014302</w:t>
            </w:r>
          </w:p>
        </w:tc>
        <w:tc>
          <w:tcPr>
            <w:tcW w:w="1701" w:type="dxa"/>
            <w:tcBorders>
              <w:top w:val="single" w:sz="4" w:space="0" w:color="31849B" w:themeColor="accent5" w:themeShade="BF"/>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Kingston</w:t>
            </w:r>
          </w:p>
        </w:tc>
        <w:tc>
          <w:tcPr>
            <w:tcW w:w="708"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82%</w:t>
            </w:r>
          </w:p>
        </w:tc>
        <w:tc>
          <w:tcPr>
            <w:tcW w:w="709"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8%</w:t>
            </w:r>
          </w:p>
        </w:tc>
        <w:tc>
          <w:tcPr>
            <w:tcW w:w="709"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w:t>
            </w:r>
          </w:p>
        </w:tc>
        <w:tc>
          <w:tcPr>
            <w:tcW w:w="709"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9%</w:t>
            </w:r>
          </w:p>
        </w:tc>
        <w:tc>
          <w:tcPr>
            <w:tcW w:w="850"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w:t>
            </w:r>
          </w:p>
        </w:tc>
        <w:tc>
          <w:tcPr>
            <w:tcW w:w="992"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Pr="00C96394" w:rsidRDefault="00E7182E" w:rsidP="00E720A2">
            <w:pPr>
              <w:jc w:val="center"/>
              <w:cnfStyle w:val="000000000000"/>
              <w:rPr>
                <w:rFonts w:ascii="Calibri" w:hAnsi="Calibri" w:cs="Calibri"/>
                <w:color w:val="000000"/>
              </w:rPr>
            </w:pPr>
            <w:r>
              <w:rPr>
                <w:rFonts w:ascii="Calibri" w:hAnsi="Calibri" w:cs="Calibri"/>
                <w:color w:val="000000"/>
              </w:rPr>
              <w:t>10</w:t>
            </w:r>
          </w:p>
        </w:tc>
        <w:tc>
          <w:tcPr>
            <w:tcW w:w="1134"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78</w:t>
            </w:r>
          </w:p>
        </w:tc>
        <w:tc>
          <w:tcPr>
            <w:tcW w:w="1134" w:type="dxa"/>
            <w:tcBorders>
              <w:top w:val="single" w:sz="4" w:space="0" w:color="31849B" w:themeColor="accent5" w:themeShade="BF"/>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129</w:t>
            </w:r>
          </w:p>
        </w:tc>
      </w:tr>
      <w:tr w:rsidR="00715625" w:rsidRPr="004D46A0" w:rsidTr="00E720A2">
        <w:trPr>
          <w:cnfStyle w:val="000000100000"/>
          <w:trHeight w:val="275"/>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8012805</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r w:rsidRPr="00F604BB">
              <w:rPr>
                <w:rFonts w:ascii="Calibri" w:hAnsi="Calibri" w:cs="Calibri"/>
                <w:color w:val="244061" w:themeColor="accent1" w:themeShade="80"/>
              </w:rPr>
              <w:t>Turner</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69%</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22%</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155</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206</w:t>
            </w:r>
          </w:p>
        </w:tc>
      </w:tr>
      <w:tr w:rsidR="0008541F" w:rsidRPr="004D46A0" w:rsidTr="00E720A2">
        <w:trPr>
          <w:trHeight w:val="275"/>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8014903</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Red Hill</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33%</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320</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442</w:t>
            </w:r>
          </w:p>
        </w:tc>
      </w:tr>
      <w:tr w:rsidR="00715625" w:rsidRPr="004D46A0" w:rsidTr="00E720A2">
        <w:trPr>
          <w:cnfStyle w:val="000000100000"/>
          <w:trHeight w:val="275"/>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8022511</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Wanniassa</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31%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26%</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305</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430</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8023001</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Chisholm</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33%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27%</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24%</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0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536</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761</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8022304</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27%</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3</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B379B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324</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443</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8014402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Griffith</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32%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47%</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319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374</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8020701</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r w:rsidRPr="00F604BB">
              <w:rPr>
                <w:rFonts w:ascii="Calibri" w:hAnsi="Calibri" w:cs="Calibri"/>
                <w:color w:val="244061" w:themeColor="accent1" w:themeShade="80"/>
              </w:rPr>
              <w:t>Torrens</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30%</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38%</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4</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309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458</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8023902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Theodore</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28%</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4</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0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406</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592</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8024301</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r w:rsidRPr="00F604BB">
              <w:rPr>
                <w:rFonts w:ascii="Calibri" w:hAnsi="Calibri" w:cs="Calibri"/>
                <w:color w:val="244061" w:themeColor="accent1" w:themeShade="80"/>
              </w:rPr>
              <w:t>Bonython</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37%</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4</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1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405</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503</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8011903</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Hawker</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41%</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CD5C50" w:rsidP="00E720A2">
            <w:pPr>
              <w:jc w:val="center"/>
              <w:cnfStyle w:val="000000000000"/>
              <w:rPr>
                <w:rFonts w:ascii="Calibri" w:hAnsi="Calibri" w:cs="Calibri"/>
                <w:color w:val="000000"/>
              </w:rPr>
            </w:pPr>
            <w:r>
              <w:rPr>
                <w:rFonts w:ascii="Calibri" w:hAnsi="Calibri" w:cs="Calibri"/>
                <w:color w:val="000000"/>
              </w:rPr>
              <w:t>10</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384</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466</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8022409</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27%</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31%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25%</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4</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416</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568</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8012902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O'Connor</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27%</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47%</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228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304</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8022306</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34%</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4</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190</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270</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8014407</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Griffith</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49%</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216D84"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286</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341</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8022401</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9%</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42%</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8</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175</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229</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8013203</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Watson</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42%</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0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450</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647</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8021002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r w:rsidRPr="00F604BB">
              <w:rPr>
                <w:rFonts w:ascii="Calibri" w:hAnsi="Calibri" w:cs="Calibri"/>
                <w:color w:val="244061" w:themeColor="accent1" w:themeShade="80"/>
              </w:rPr>
              <w:t>Phillip</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7%</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31%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38%</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6</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253</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280</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8022312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30%</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35%</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4</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0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386</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494</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8022507</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Wanniassa</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33%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28%</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6</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570</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774</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8020804</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proofErr w:type="spellStart"/>
            <w:r w:rsidRPr="00F604BB">
              <w:rPr>
                <w:rFonts w:ascii="Calibri" w:hAnsi="Calibri" w:cs="Calibri"/>
                <w:color w:val="244061" w:themeColor="accent1" w:themeShade="80"/>
              </w:rPr>
              <w:t>Mawson</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7%</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42%</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7</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385</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424</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8021802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Rivett</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10%</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39%</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5</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398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554</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8010122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Harrison</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42%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19%</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216D84" w:rsidP="00E720A2">
            <w:pPr>
              <w:jc w:val="center"/>
              <w:cnfStyle w:val="000000000000"/>
              <w:rPr>
                <w:rFonts w:ascii="Calibri" w:hAnsi="Calibri" w:cs="Calibri"/>
                <w:color w:val="000000"/>
              </w:rPr>
            </w:pPr>
            <w:r>
              <w:rPr>
                <w:rFonts w:ascii="Calibri" w:hAnsi="Calibri" w:cs="Calibri"/>
                <w:color w:val="000000"/>
              </w:rPr>
              <w:t>10</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24</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32</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8022311</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14%</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35%</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6</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371</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517</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8010519</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proofErr w:type="spellStart"/>
            <w:r w:rsidRPr="00F604BB">
              <w:rPr>
                <w:rFonts w:ascii="Calibri" w:hAnsi="Calibri" w:cs="Calibri"/>
                <w:color w:val="244061" w:themeColor="accent1" w:themeShade="80"/>
              </w:rPr>
              <w:t>Ngunnawal</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35%</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355</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507</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8022309</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proofErr w:type="spellStart"/>
            <w:r w:rsidRPr="00F604BB">
              <w:rPr>
                <w:rFonts w:ascii="Calibri" w:hAnsi="Calibri" w:cs="Calibri"/>
                <w:color w:val="244061" w:themeColor="accent1" w:themeShade="80"/>
              </w:rPr>
              <w:t>Kambah</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34%</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6</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373</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539</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8024409</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r w:rsidRPr="00F604BB">
              <w:rPr>
                <w:rFonts w:ascii="Calibri" w:hAnsi="Calibri" w:cs="Calibri"/>
                <w:color w:val="244061" w:themeColor="accent1" w:themeShade="80"/>
              </w:rPr>
              <w:t>Gordon</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16%</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32%</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29%</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216D84"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467</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665</w:t>
            </w:r>
          </w:p>
        </w:tc>
      </w:tr>
      <w:tr w:rsidR="0008541F" w:rsidRPr="004D46A0" w:rsidTr="00E720A2">
        <w:trPr>
          <w:cnfStyle w:val="000000100000"/>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8023602</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100000"/>
              <w:rPr>
                <w:rFonts w:ascii="Calibri" w:hAnsi="Calibri" w:cs="Calibri"/>
                <w:color w:val="244061" w:themeColor="accent1" w:themeShade="80"/>
              </w:rPr>
            </w:pPr>
            <w:r w:rsidRPr="00F604BB">
              <w:rPr>
                <w:rFonts w:ascii="Calibri" w:hAnsi="Calibri" w:cs="Calibri"/>
                <w:color w:val="244061" w:themeColor="accent1" w:themeShade="80"/>
              </w:rPr>
              <w:t>Isabella Plains</w:t>
            </w:r>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19%</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28%</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9C0006"/>
              </w:rPr>
            </w:pPr>
            <w:r w:rsidRPr="00C96394">
              <w:rPr>
                <w:rFonts w:ascii="Calibri" w:hAnsi="Calibri" w:cs="Calibri"/>
                <w:color w:val="9C0006"/>
              </w:rPr>
              <w:t>31%</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100000"/>
              <w:rPr>
                <w:rFonts w:ascii="Calibri" w:hAnsi="Calibri" w:cs="Calibri"/>
                <w:color w:val="000000"/>
              </w:rPr>
            </w:pPr>
            <w:r w:rsidRPr="00C96394">
              <w:rPr>
                <w:rFonts w:ascii="Calibri" w:hAnsi="Calibri" w:cs="Calibri"/>
                <w:color w:val="000000"/>
              </w:rPr>
              <w:t>6</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8B7750" w:rsidP="00E720A2">
            <w:pPr>
              <w:jc w:val="center"/>
              <w:cnfStyle w:val="000000100000"/>
              <w:rPr>
                <w:rFonts w:ascii="Calibri" w:hAnsi="Calibri" w:cs="Calibri"/>
                <w:color w:val="000000"/>
              </w:rPr>
            </w:pPr>
            <w:r>
              <w:rPr>
                <w:rFonts w:ascii="Calibri" w:hAnsi="Calibri" w:cs="Calibri"/>
                <w:color w:val="000000"/>
              </w:rPr>
              <w:t>8</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347</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100000"/>
              <w:rPr>
                <w:rFonts w:ascii="Calibri" w:hAnsi="Calibri" w:cs="Calibri"/>
                <w:color w:val="000000"/>
              </w:rPr>
            </w:pPr>
            <w:r>
              <w:rPr>
                <w:rFonts w:ascii="Calibri" w:hAnsi="Calibri" w:cs="Calibri"/>
                <w:color w:val="000000"/>
              </w:rPr>
              <w:t>493</w:t>
            </w:r>
          </w:p>
        </w:tc>
      </w:tr>
      <w:tr w:rsidR="0008541F" w:rsidRPr="004D46A0" w:rsidTr="00E720A2">
        <w:trPr>
          <w:trHeight w:val="293"/>
        </w:trPr>
        <w:tc>
          <w:tcPr>
            <w:cnfStyle w:val="001000000000"/>
            <w:tcW w:w="1101" w:type="dxa"/>
            <w:tcBorders>
              <w:left w:val="single" w:sz="4" w:space="0" w:color="31849B" w:themeColor="accent5" w:themeShade="BF"/>
              <w:right w:val="single" w:sz="4" w:space="0" w:color="31849B" w:themeColor="accent5" w:themeShade="BF"/>
            </w:tcBorders>
          </w:tcPr>
          <w:p w:rsidR="0008541F" w:rsidRPr="00F604BB" w:rsidRDefault="0008541F">
            <w:pPr>
              <w:jc w:val="right"/>
              <w:rPr>
                <w:rFonts w:ascii="Calibri" w:hAnsi="Calibri" w:cs="Calibri"/>
                <w:b w:val="0"/>
                <w:color w:val="244061" w:themeColor="accent1" w:themeShade="80"/>
              </w:rPr>
            </w:pPr>
            <w:r w:rsidRPr="00F604BB">
              <w:rPr>
                <w:rFonts w:ascii="Calibri" w:hAnsi="Calibri" w:cs="Calibri"/>
                <w:b w:val="0"/>
                <w:color w:val="244061" w:themeColor="accent1" w:themeShade="80"/>
              </w:rPr>
              <w:t>8023803</w:t>
            </w:r>
          </w:p>
        </w:tc>
        <w:tc>
          <w:tcPr>
            <w:tcW w:w="1701" w:type="dxa"/>
            <w:tcBorders>
              <w:left w:val="single" w:sz="4" w:space="0" w:color="31849B" w:themeColor="accent5" w:themeShade="BF"/>
              <w:right w:val="single" w:sz="4" w:space="0" w:color="31849B" w:themeColor="accent5" w:themeShade="BF"/>
            </w:tcBorders>
          </w:tcPr>
          <w:p w:rsidR="0008541F" w:rsidRPr="00F604BB" w:rsidRDefault="0008541F">
            <w:pPr>
              <w:cnfStyle w:val="000000000000"/>
              <w:rPr>
                <w:rFonts w:ascii="Calibri" w:hAnsi="Calibri" w:cs="Calibri"/>
                <w:color w:val="244061" w:themeColor="accent1" w:themeShade="80"/>
              </w:rPr>
            </w:pPr>
            <w:proofErr w:type="spellStart"/>
            <w:r w:rsidRPr="00F604BB">
              <w:rPr>
                <w:rFonts w:ascii="Calibri" w:hAnsi="Calibri" w:cs="Calibri"/>
                <w:color w:val="244061" w:themeColor="accent1" w:themeShade="80"/>
              </w:rPr>
              <w:t>Calwell</w:t>
            </w:r>
            <w:proofErr w:type="spellEnd"/>
          </w:p>
        </w:tc>
        <w:tc>
          <w:tcPr>
            <w:tcW w:w="708"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21%</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15%</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33%</w:t>
            </w:r>
          </w:p>
        </w:tc>
        <w:tc>
          <w:tcPr>
            <w:tcW w:w="709"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9C0006"/>
              </w:rPr>
            </w:pPr>
            <w:r w:rsidRPr="00C96394">
              <w:rPr>
                <w:rFonts w:ascii="Calibri" w:hAnsi="Calibri" w:cs="Calibri"/>
                <w:color w:val="9C0006"/>
              </w:rPr>
              <w:t>31%</w:t>
            </w:r>
          </w:p>
        </w:tc>
        <w:tc>
          <w:tcPr>
            <w:tcW w:w="850" w:type="dxa"/>
            <w:tcBorders>
              <w:left w:val="single" w:sz="4" w:space="0" w:color="31849B" w:themeColor="accent5" w:themeShade="BF"/>
              <w:right w:val="single" w:sz="4" w:space="0" w:color="31849B" w:themeColor="accent5" w:themeShade="BF"/>
            </w:tcBorders>
            <w:vAlign w:val="bottom"/>
          </w:tcPr>
          <w:p w:rsidR="0008541F" w:rsidRPr="00C96394" w:rsidRDefault="0008541F" w:rsidP="00E720A2">
            <w:pPr>
              <w:jc w:val="center"/>
              <w:cnfStyle w:val="000000000000"/>
              <w:rPr>
                <w:rFonts w:ascii="Calibri" w:hAnsi="Calibri" w:cs="Calibri"/>
                <w:color w:val="000000"/>
              </w:rPr>
            </w:pPr>
            <w:r w:rsidRPr="00C96394">
              <w:rPr>
                <w:rFonts w:ascii="Calibri" w:hAnsi="Calibri" w:cs="Calibri"/>
                <w:color w:val="000000"/>
              </w:rPr>
              <w:t>5</w:t>
            </w:r>
          </w:p>
        </w:tc>
        <w:tc>
          <w:tcPr>
            <w:tcW w:w="992" w:type="dxa"/>
            <w:tcBorders>
              <w:left w:val="single" w:sz="4" w:space="0" w:color="31849B" w:themeColor="accent5" w:themeShade="BF"/>
              <w:right w:val="single" w:sz="4" w:space="0" w:color="31849B" w:themeColor="accent5" w:themeShade="BF"/>
            </w:tcBorders>
            <w:vAlign w:val="bottom"/>
          </w:tcPr>
          <w:p w:rsidR="0008541F" w:rsidRPr="00C96394" w:rsidRDefault="00216D84" w:rsidP="00E720A2">
            <w:pPr>
              <w:jc w:val="center"/>
              <w:cnfStyle w:val="000000000000"/>
              <w:rPr>
                <w:rFonts w:ascii="Calibri" w:hAnsi="Calibri" w:cs="Calibri"/>
                <w:color w:val="000000"/>
              </w:rPr>
            </w:pPr>
            <w:r>
              <w:rPr>
                <w:rFonts w:ascii="Calibri" w:hAnsi="Calibri" w:cs="Calibri"/>
                <w:color w:val="000000"/>
              </w:rPr>
              <w:t>9</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414</w:t>
            </w:r>
          </w:p>
        </w:tc>
        <w:tc>
          <w:tcPr>
            <w:tcW w:w="1134" w:type="dxa"/>
            <w:tcBorders>
              <w:left w:val="single" w:sz="4" w:space="0" w:color="31849B" w:themeColor="accent5" w:themeShade="BF"/>
              <w:right w:val="single" w:sz="4" w:space="0" w:color="31849B" w:themeColor="accent5" w:themeShade="BF"/>
            </w:tcBorders>
            <w:vAlign w:val="bottom"/>
          </w:tcPr>
          <w:p w:rsidR="0008541F" w:rsidRDefault="0008541F" w:rsidP="00E720A2">
            <w:pPr>
              <w:jc w:val="center"/>
              <w:cnfStyle w:val="000000000000"/>
              <w:rPr>
                <w:rFonts w:ascii="Calibri" w:hAnsi="Calibri" w:cs="Calibri"/>
                <w:color w:val="000000"/>
              </w:rPr>
            </w:pPr>
            <w:r>
              <w:rPr>
                <w:rFonts w:ascii="Calibri" w:hAnsi="Calibri" w:cs="Calibri"/>
                <w:color w:val="000000"/>
              </w:rPr>
              <w:t>564</w:t>
            </w:r>
          </w:p>
        </w:tc>
      </w:tr>
    </w:tbl>
    <w:p w:rsidR="00267561" w:rsidRDefault="00267561" w:rsidP="00FA00AF">
      <w:pPr>
        <w:spacing w:after="0"/>
      </w:pPr>
    </w:p>
    <w:p w:rsidR="00D25EF9" w:rsidRPr="00D25EF9" w:rsidRDefault="00D25EF9" w:rsidP="00D25EF9"/>
    <w:sectPr w:rsidR="00D25EF9" w:rsidRPr="00D25EF9" w:rsidSect="007767DD">
      <w:endnotePr>
        <w:numFmt w:val="decimal"/>
      </w:endnotePr>
      <w:pgSz w:w="12240" w:h="15840"/>
      <w:pgMar w:top="1440" w:right="1440" w:bottom="1559" w:left="144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74" w:rsidRPr="00E10380" w:rsidRDefault="006B6874" w:rsidP="00E10380">
      <w:pPr>
        <w:pStyle w:val="Footer"/>
      </w:pPr>
    </w:p>
  </w:endnote>
  <w:endnote w:type="continuationSeparator" w:id="0">
    <w:p w:rsidR="006B6874" w:rsidRPr="00E10380" w:rsidRDefault="006B6874" w:rsidP="00E10380">
      <w:pPr>
        <w:pStyle w:val="Footer"/>
      </w:pPr>
    </w:p>
  </w:endnote>
  <w:endnote w:type="continuationNotice" w:id="1">
    <w:p w:rsidR="006B6874" w:rsidRDefault="006B6874">
      <w:pPr>
        <w:spacing w:after="0" w:line="240" w:lineRule="auto"/>
      </w:pPr>
    </w:p>
  </w:endnote>
  <w:endnote w:id="2">
    <w:p w:rsidR="006B6874" w:rsidRPr="00441625" w:rsidRDefault="006B6874" w:rsidP="00C42B8F">
      <w:pPr>
        <w:pStyle w:val="EndnoteText"/>
        <w:spacing w:after="240"/>
        <w:rPr>
          <w:lang w:val="en-AU"/>
        </w:rPr>
      </w:pPr>
      <w:r w:rsidRPr="00441625">
        <w:rPr>
          <w:rStyle w:val="EndnoteReference"/>
        </w:rPr>
        <w:endnoteRef/>
      </w:r>
      <w:r w:rsidRPr="00441625">
        <w:t xml:space="preserve"> </w:t>
      </w:r>
      <w:proofErr w:type="gramStart"/>
      <w:r w:rsidRPr="00441625">
        <w:t>Wise, P. &amp; Mathews, R. (2011).</w:t>
      </w:r>
      <w:proofErr w:type="gramEnd"/>
      <w:r w:rsidRPr="00441625">
        <w:t xml:space="preserve"> Socio-Economic Indexes for Areas: Getting a Handle on Individual Diversity </w:t>
      </w:r>
      <w:proofErr w:type="gramStart"/>
      <w:r w:rsidRPr="00441625">
        <w:t>Within</w:t>
      </w:r>
      <w:proofErr w:type="gramEnd"/>
      <w:r w:rsidRPr="00441625">
        <w:t xml:space="preserve"> Areas. ABS Cat. </w:t>
      </w:r>
      <w:proofErr w:type="gramStart"/>
      <w:r w:rsidRPr="00441625">
        <w:t>No. 1351.0.55.036.</w:t>
      </w:r>
      <w:proofErr w:type="gramEnd"/>
    </w:p>
  </w:endnote>
  <w:endnote w:id="3">
    <w:p w:rsidR="006B6874" w:rsidRPr="00C57FD6" w:rsidRDefault="006B6874" w:rsidP="00441625">
      <w:pPr>
        <w:pStyle w:val="EndnoteText"/>
        <w:rPr>
          <w:lang w:val="en-AU"/>
        </w:rPr>
      </w:pPr>
      <w:r w:rsidRPr="00441625">
        <w:rPr>
          <w:rStyle w:val="EndnoteReference"/>
        </w:rPr>
        <w:endnoteRef/>
      </w:r>
      <w:r w:rsidRPr="00441625">
        <w:t xml:space="preserve"> </w:t>
      </w:r>
      <w:proofErr w:type="gramStart"/>
      <w:r w:rsidRPr="00441625">
        <w:t>Pink, B. (2008).</w:t>
      </w:r>
      <w:proofErr w:type="gramEnd"/>
      <w:r w:rsidRPr="00441625">
        <w:t xml:space="preserve"> </w:t>
      </w:r>
      <w:proofErr w:type="gramStart"/>
      <w:r w:rsidRPr="00441625">
        <w:t>Socio-Economic Indexes for Areas (SEIFA) – Technical Paper 2006.</w:t>
      </w:r>
      <w:proofErr w:type="gramEnd"/>
      <w:r w:rsidRPr="00441625">
        <w:t xml:space="preserve"> ABS Cat. </w:t>
      </w:r>
      <w:proofErr w:type="gramStart"/>
      <w:r w:rsidRPr="00441625">
        <w:t>No. 2039.0.55.001.</w:t>
      </w:r>
      <w:proofErr w:type="gram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19893503"/>
      <w:docPartObj>
        <w:docPartGallery w:val="Page Numbers (Bottom of Page)"/>
        <w:docPartUnique/>
      </w:docPartObj>
    </w:sdtPr>
    <w:sdtEndPr>
      <w:rPr>
        <w:color w:val="7F7F7F" w:themeColor="background1" w:themeShade="7F"/>
        <w:spacing w:val="60"/>
      </w:rPr>
    </w:sdtEndPr>
    <w:sdtContent>
      <w:p w:rsidR="006B6874" w:rsidRPr="00736A1E" w:rsidRDefault="00D67B26">
        <w:pPr>
          <w:pStyle w:val="Footer"/>
          <w:pBdr>
            <w:top w:val="single" w:sz="4" w:space="1" w:color="D9D9D9" w:themeColor="background1" w:themeShade="D9"/>
          </w:pBdr>
          <w:rPr>
            <w:b/>
            <w:sz w:val="18"/>
            <w:szCs w:val="18"/>
          </w:rPr>
        </w:pPr>
        <w:r w:rsidRPr="00736A1E">
          <w:rPr>
            <w:sz w:val="18"/>
            <w:szCs w:val="18"/>
          </w:rPr>
          <w:fldChar w:fldCharType="begin"/>
        </w:r>
        <w:r w:rsidR="006B6874" w:rsidRPr="00736A1E">
          <w:rPr>
            <w:sz w:val="18"/>
            <w:szCs w:val="18"/>
          </w:rPr>
          <w:instrText xml:space="preserve"> PAGE   \* MERGEFORMAT </w:instrText>
        </w:r>
        <w:r w:rsidRPr="00736A1E">
          <w:rPr>
            <w:sz w:val="18"/>
            <w:szCs w:val="18"/>
          </w:rPr>
          <w:fldChar w:fldCharType="separate"/>
        </w:r>
        <w:r w:rsidR="008230AD" w:rsidRPr="008230AD">
          <w:rPr>
            <w:b/>
            <w:noProof/>
            <w:sz w:val="18"/>
            <w:szCs w:val="18"/>
          </w:rPr>
          <w:t>6</w:t>
        </w:r>
        <w:r w:rsidRPr="00736A1E">
          <w:rPr>
            <w:sz w:val="18"/>
            <w:szCs w:val="18"/>
          </w:rPr>
          <w:fldChar w:fldCharType="end"/>
        </w:r>
        <w:r w:rsidR="006B6874" w:rsidRPr="00736A1E">
          <w:rPr>
            <w:b/>
            <w:sz w:val="18"/>
            <w:szCs w:val="18"/>
          </w:rPr>
          <w:t xml:space="preserve"> | </w:t>
        </w:r>
        <w:r w:rsidR="006B6874" w:rsidRPr="00736A1E">
          <w:rPr>
            <w:color w:val="7F7F7F" w:themeColor="background1" w:themeShade="7F"/>
            <w:spacing w:val="60"/>
            <w:sz w:val="18"/>
            <w:szCs w:val="18"/>
          </w:rPr>
          <w:t>Page</w:t>
        </w:r>
      </w:p>
    </w:sdtContent>
  </w:sdt>
  <w:p w:rsidR="006B6874" w:rsidRDefault="006B6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893504"/>
      <w:docPartObj>
        <w:docPartGallery w:val="Page Numbers (Bottom of Page)"/>
        <w:docPartUnique/>
      </w:docPartObj>
    </w:sdtPr>
    <w:sdtEndPr>
      <w:rPr>
        <w:color w:val="7F7F7F" w:themeColor="background1" w:themeShade="7F"/>
        <w:spacing w:val="60"/>
      </w:rPr>
    </w:sdtEndPr>
    <w:sdtContent>
      <w:p w:rsidR="006B6874" w:rsidRDefault="00D67B26">
        <w:pPr>
          <w:pStyle w:val="Footer"/>
          <w:pBdr>
            <w:top w:val="single" w:sz="4" w:space="1" w:color="D9D9D9" w:themeColor="background1" w:themeShade="D9"/>
          </w:pBdr>
          <w:jc w:val="right"/>
        </w:pPr>
        <w:r w:rsidRPr="00736A1E">
          <w:rPr>
            <w:sz w:val="18"/>
            <w:szCs w:val="18"/>
          </w:rPr>
          <w:fldChar w:fldCharType="begin"/>
        </w:r>
        <w:r w:rsidR="006B6874" w:rsidRPr="00736A1E">
          <w:rPr>
            <w:sz w:val="18"/>
            <w:szCs w:val="18"/>
          </w:rPr>
          <w:instrText xml:space="preserve"> PAGE   \* MERGEFORMAT </w:instrText>
        </w:r>
        <w:r w:rsidRPr="00736A1E">
          <w:rPr>
            <w:sz w:val="18"/>
            <w:szCs w:val="18"/>
          </w:rPr>
          <w:fldChar w:fldCharType="separate"/>
        </w:r>
        <w:r w:rsidR="008230AD">
          <w:rPr>
            <w:noProof/>
            <w:sz w:val="18"/>
            <w:szCs w:val="18"/>
          </w:rPr>
          <w:t>5</w:t>
        </w:r>
        <w:r w:rsidRPr="00736A1E">
          <w:rPr>
            <w:sz w:val="18"/>
            <w:szCs w:val="18"/>
          </w:rPr>
          <w:fldChar w:fldCharType="end"/>
        </w:r>
        <w:r w:rsidR="006B6874" w:rsidRPr="00736A1E">
          <w:rPr>
            <w:sz w:val="18"/>
            <w:szCs w:val="18"/>
          </w:rPr>
          <w:t xml:space="preserve"> | </w:t>
        </w:r>
        <w:r w:rsidR="006B6874" w:rsidRPr="00736A1E">
          <w:rPr>
            <w:color w:val="7F7F7F" w:themeColor="background1" w:themeShade="7F"/>
            <w:spacing w:val="60"/>
            <w:sz w:val="18"/>
            <w:szCs w:val="18"/>
          </w:rPr>
          <w:t>Page</w:t>
        </w:r>
      </w:p>
    </w:sdtContent>
  </w:sdt>
  <w:p w:rsidR="006B6874" w:rsidRDefault="006B6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74" w:rsidRDefault="006B6874" w:rsidP="009E5D18">
      <w:pPr>
        <w:spacing w:after="0" w:line="240" w:lineRule="auto"/>
      </w:pPr>
      <w:r>
        <w:separator/>
      </w:r>
    </w:p>
  </w:footnote>
  <w:footnote w:type="continuationSeparator" w:id="0">
    <w:p w:rsidR="006B6874" w:rsidRDefault="006B6874" w:rsidP="009E5D18">
      <w:pPr>
        <w:spacing w:after="0" w:line="240" w:lineRule="auto"/>
      </w:pPr>
      <w:r>
        <w:continuationSeparator/>
      </w:r>
    </w:p>
  </w:footnote>
  <w:footnote w:id="1">
    <w:p w:rsidR="006B6874" w:rsidRPr="00686B42" w:rsidRDefault="006B6874">
      <w:pPr>
        <w:pStyle w:val="FootnoteText"/>
        <w:rPr>
          <w:lang w:val="en-AU"/>
        </w:rPr>
      </w:pPr>
      <w:r>
        <w:rPr>
          <w:rStyle w:val="FootnoteReference"/>
        </w:rPr>
        <w:footnoteRef/>
      </w:r>
      <w:r>
        <w:t xml:space="preserve"> </w:t>
      </w:r>
      <w:r>
        <w:rPr>
          <w:lang w:val="en-AU"/>
        </w:rPr>
        <w:t xml:space="preserve">Percentages in </w:t>
      </w:r>
      <w:r w:rsidRPr="00686B42">
        <w:rPr>
          <w:rFonts w:ascii="Calibri" w:hAnsi="Calibri" w:cs="Calibri"/>
          <w:color w:val="9C0006"/>
        </w:rPr>
        <w:t>red text</w:t>
      </w:r>
      <w:r>
        <w:rPr>
          <w:lang w:val="en-AU"/>
        </w:rPr>
        <w:t xml:space="preserve"> indicate above average proportions of Group 1 or Group 4 populations aged 15-64 in area</w:t>
      </w:r>
    </w:p>
  </w:footnote>
  <w:footnote w:id="2">
    <w:p w:rsidR="006B6874" w:rsidRPr="00216D84" w:rsidRDefault="006B6874">
      <w:pPr>
        <w:pStyle w:val="FootnoteText"/>
        <w:rPr>
          <w:lang w:val="en-AU"/>
        </w:rPr>
      </w:pPr>
      <w:r w:rsidRPr="00B379B0">
        <w:rPr>
          <w:rStyle w:val="FootnoteReference"/>
          <w:b/>
          <w:sz w:val="18"/>
          <w:szCs w:val="18"/>
        </w:rPr>
        <w:footnoteRef/>
      </w:r>
      <w:r w:rsidRPr="00B379B0">
        <w:rPr>
          <w:b/>
          <w:sz w:val="18"/>
          <w:szCs w:val="18"/>
        </w:rPr>
        <w:t xml:space="preserve"> </w:t>
      </w:r>
      <w:r w:rsidRPr="006840DF">
        <w:rPr>
          <w:sz w:val="18"/>
          <w:szCs w:val="18"/>
          <w:lang w:val="en-AU"/>
        </w:rPr>
        <w:t xml:space="preserve">Excludes ‘Unclassified ACT’ collection districts </w:t>
      </w:r>
      <w:r w:rsidRPr="006840DF">
        <w:rPr>
          <w:rFonts w:ascii="Calibri" w:hAnsi="Calibri" w:cs="Calibri"/>
          <w:color w:val="000000"/>
          <w:sz w:val="18"/>
          <w:szCs w:val="18"/>
        </w:rPr>
        <w:t xml:space="preserve">8024101, 8024001, </w:t>
      </w:r>
      <w:r w:rsidRPr="006840DF">
        <w:rPr>
          <w:rFonts w:ascii="Calibri" w:eastAsia="Times New Roman" w:hAnsi="Calibri" w:cs="Calibri"/>
          <w:color w:val="000000"/>
          <w:sz w:val="18"/>
          <w:szCs w:val="18"/>
          <w:lang w:val="en-AU" w:eastAsia="en-AU"/>
        </w:rPr>
        <w:t>8010104</w:t>
      </w:r>
      <w:r w:rsidRPr="006840DF">
        <w:rPr>
          <w:rFonts w:ascii="Calibri" w:hAnsi="Calibri" w:cs="Calibri"/>
          <w:color w:val="000000"/>
          <w:sz w:val="18"/>
          <w:szCs w:val="18"/>
        </w:rPr>
        <w:t>, and 8021702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74" w:rsidRPr="00736A1E" w:rsidRDefault="006B6874" w:rsidP="00967F55">
    <w:pPr>
      <w:pStyle w:val="Header"/>
      <w:tabs>
        <w:tab w:val="left" w:pos="2580"/>
        <w:tab w:val="left" w:pos="2985"/>
      </w:tabs>
      <w:spacing w:line="276" w:lineRule="auto"/>
      <w:rPr>
        <w:b/>
        <w:bCs/>
        <w:color w:val="95B3D7" w:themeColor="accent1" w:themeTint="99"/>
        <w:sz w:val="20"/>
        <w:szCs w:val="28"/>
      </w:rPr>
    </w:pPr>
    <w:r>
      <w:rPr>
        <w:bCs/>
        <w:color w:val="95B3D7" w:themeColor="accent1" w:themeTint="99"/>
        <w:sz w:val="20"/>
        <w:lang w:val="en-AU"/>
      </w:rPr>
      <w:t xml:space="preserve">Detecting Disadvantage in the ACT </w:t>
    </w:r>
  </w:p>
  <w:p w:rsidR="006B6874" w:rsidRPr="00CC41A2" w:rsidRDefault="006B6874" w:rsidP="0084550A">
    <w:pPr>
      <w:pStyle w:val="Header"/>
      <w:pBdr>
        <w:bottom w:val="single" w:sz="4" w:space="1" w:color="A5A5A5" w:themeColor="background1" w:themeShade="A5"/>
      </w:pBdr>
      <w:tabs>
        <w:tab w:val="left" w:pos="2580"/>
        <w:tab w:val="left" w:pos="2985"/>
      </w:tabs>
      <w:spacing w:line="276" w:lineRule="auto"/>
      <w:rPr>
        <w:bCs/>
        <w:color w:val="95B3D7" w:themeColor="accent1" w:themeTint="99"/>
        <w:sz w:val="20"/>
        <w:lang w:val="en-AU"/>
      </w:rPr>
    </w:pPr>
    <w:r w:rsidRPr="00CC41A2">
      <w:rPr>
        <w:bCs/>
        <w:color w:val="95B3D7" w:themeColor="accent1" w:themeTint="99"/>
        <w:sz w:val="20"/>
        <w:lang w:val="en-AU"/>
      </w:rPr>
      <w:t xml:space="preserve">Comparative analysis </w:t>
    </w:r>
    <w:r>
      <w:rPr>
        <w:bCs/>
        <w:color w:val="95B3D7" w:themeColor="accent1" w:themeTint="99"/>
        <w:sz w:val="20"/>
        <w:lang w:val="en-AU"/>
      </w:rPr>
      <w:t>of SEIFA IRSD and SEIFI IRSD in the ACT</w:t>
    </w:r>
  </w:p>
  <w:p w:rsidR="006B6874" w:rsidRDefault="006B6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74" w:rsidRPr="00736A1E" w:rsidRDefault="006B6874" w:rsidP="00967F55">
    <w:pPr>
      <w:pStyle w:val="Header"/>
      <w:tabs>
        <w:tab w:val="left" w:pos="2580"/>
        <w:tab w:val="left" w:pos="2985"/>
      </w:tabs>
      <w:spacing w:line="276" w:lineRule="auto"/>
      <w:jc w:val="right"/>
      <w:rPr>
        <w:bCs/>
        <w:color w:val="95B3D7" w:themeColor="accent1" w:themeTint="99"/>
        <w:sz w:val="20"/>
      </w:rPr>
    </w:pPr>
    <w:r>
      <w:rPr>
        <w:bCs/>
        <w:color w:val="95B3D7" w:themeColor="accent1" w:themeTint="99"/>
        <w:sz w:val="20"/>
        <w:lang w:val="en-AU"/>
      </w:rPr>
      <w:t xml:space="preserve">Detecting Disadvantage in the ACT </w:t>
    </w:r>
  </w:p>
  <w:p w:rsidR="006B6874" w:rsidRDefault="006B6874">
    <w:pPr>
      <w:pStyle w:val="Header"/>
      <w:pBdr>
        <w:bottom w:val="single" w:sz="4" w:space="1" w:color="A5A5A5" w:themeColor="background1" w:themeShade="A5"/>
      </w:pBdr>
      <w:tabs>
        <w:tab w:val="left" w:pos="2580"/>
        <w:tab w:val="left" w:pos="2985"/>
      </w:tabs>
      <w:spacing w:line="276" w:lineRule="auto"/>
      <w:jc w:val="right"/>
      <w:rPr>
        <w:color w:val="808080" w:themeColor="text1" w:themeTint="7F"/>
      </w:rPr>
    </w:pPr>
    <w:r w:rsidRPr="000B5D82">
      <w:rPr>
        <w:bCs/>
        <w:color w:val="95B3D7" w:themeColor="accent1" w:themeTint="99"/>
        <w:sz w:val="20"/>
        <w:lang w:val="en-AU"/>
      </w:rPr>
      <w:t>Comparative analysis of SEIFA IRSD and SEIFI IRSD in the ACT</w:t>
    </w:r>
  </w:p>
  <w:p w:rsidR="006B6874" w:rsidRDefault="006B6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74" w:rsidRDefault="006B6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B59"/>
    <w:multiLevelType w:val="multilevel"/>
    <w:tmpl w:val="0C09001D"/>
    <w:styleLink w:val="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5268CA"/>
    <w:multiLevelType w:val="hybridMultilevel"/>
    <w:tmpl w:val="CC44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BD3BFE"/>
    <w:multiLevelType w:val="hybridMultilevel"/>
    <w:tmpl w:val="6298BA04"/>
    <w:lvl w:ilvl="0" w:tplc="A282EAC8">
      <w:start w:val="1"/>
      <w:numFmt w:val="decimal"/>
      <w:lvlText w:val="%1"/>
      <w:lvlJc w:val="left"/>
      <w:pPr>
        <w:ind w:left="720" w:hanging="360"/>
      </w:pPr>
      <w:rPr>
        <w:rFonts w:ascii="Calibri" w:hAnsi="Calibri" w:hint="default"/>
        <w:sz w:val="20"/>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560FEE"/>
    <w:multiLevelType w:val="hybridMultilevel"/>
    <w:tmpl w:val="3DCE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936288"/>
    <w:multiLevelType w:val="hybridMultilevel"/>
    <w:tmpl w:val="6F3C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66799"/>
    <w:multiLevelType w:val="hybridMultilevel"/>
    <w:tmpl w:val="BB926D00"/>
    <w:lvl w:ilvl="0" w:tplc="252E9BA0">
      <w:start w:val="17"/>
      <w:numFmt w:val="decimal"/>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4B7CA5"/>
    <w:multiLevelType w:val="hybridMultilevel"/>
    <w:tmpl w:val="D00287EC"/>
    <w:lvl w:ilvl="0" w:tplc="03788E90">
      <w:start w:val="1"/>
      <w:numFmt w:val="decimal"/>
      <w:lvlText w:val="Table A%1:"/>
      <w:lvlJc w:val="left"/>
      <w:pPr>
        <w:ind w:left="5748" w:hanging="360"/>
      </w:pPr>
      <w:rPr>
        <w:rFonts w:hint="default"/>
      </w:rPr>
    </w:lvl>
    <w:lvl w:ilvl="1" w:tplc="0C090019" w:tentative="1">
      <w:start w:val="1"/>
      <w:numFmt w:val="lowerLetter"/>
      <w:lvlText w:val="%2."/>
      <w:lvlJc w:val="left"/>
      <w:pPr>
        <w:ind w:left="6468" w:hanging="360"/>
      </w:pPr>
    </w:lvl>
    <w:lvl w:ilvl="2" w:tplc="0C09001B" w:tentative="1">
      <w:start w:val="1"/>
      <w:numFmt w:val="lowerRoman"/>
      <w:lvlText w:val="%3."/>
      <w:lvlJc w:val="right"/>
      <w:pPr>
        <w:ind w:left="7188" w:hanging="180"/>
      </w:pPr>
    </w:lvl>
    <w:lvl w:ilvl="3" w:tplc="0C09000F" w:tentative="1">
      <w:start w:val="1"/>
      <w:numFmt w:val="decimal"/>
      <w:lvlText w:val="%4."/>
      <w:lvlJc w:val="left"/>
      <w:pPr>
        <w:ind w:left="7908" w:hanging="360"/>
      </w:pPr>
    </w:lvl>
    <w:lvl w:ilvl="4" w:tplc="0C090019" w:tentative="1">
      <w:start w:val="1"/>
      <w:numFmt w:val="lowerLetter"/>
      <w:lvlText w:val="%5."/>
      <w:lvlJc w:val="left"/>
      <w:pPr>
        <w:ind w:left="8628" w:hanging="360"/>
      </w:pPr>
    </w:lvl>
    <w:lvl w:ilvl="5" w:tplc="0C09001B" w:tentative="1">
      <w:start w:val="1"/>
      <w:numFmt w:val="lowerRoman"/>
      <w:lvlText w:val="%6."/>
      <w:lvlJc w:val="right"/>
      <w:pPr>
        <w:ind w:left="9348" w:hanging="180"/>
      </w:pPr>
    </w:lvl>
    <w:lvl w:ilvl="6" w:tplc="0C09000F" w:tentative="1">
      <w:start w:val="1"/>
      <w:numFmt w:val="decimal"/>
      <w:lvlText w:val="%7."/>
      <w:lvlJc w:val="left"/>
      <w:pPr>
        <w:ind w:left="10068" w:hanging="360"/>
      </w:pPr>
    </w:lvl>
    <w:lvl w:ilvl="7" w:tplc="0C090019" w:tentative="1">
      <w:start w:val="1"/>
      <w:numFmt w:val="lowerLetter"/>
      <w:lvlText w:val="%8."/>
      <w:lvlJc w:val="left"/>
      <w:pPr>
        <w:ind w:left="10788" w:hanging="360"/>
      </w:pPr>
    </w:lvl>
    <w:lvl w:ilvl="8" w:tplc="0C09001B" w:tentative="1">
      <w:start w:val="1"/>
      <w:numFmt w:val="lowerRoman"/>
      <w:lvlText w:val="%9."/>
      <w:lvlJc w:val="right"/>
      <w:pPr>
        <w:ind w:left="11508" w:hanging="180"/>
      </w:pPr>
    </w:lvl>
  </w:abstractNum>
  <w:abstractNum w:abstractNumId="7">
    <w:nsid w:val="169503E1"/>
    <w:multiLevelType w:val="hybridMultilevel"/>
    <w:tmpl w:val="E2B4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481A88"/>
    <w:multiLevelType w:val="hybridMultilevel"/>
    <w:tmpl w:val="14C0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47706A"/>
    <w:multiLevelType w:val="hybridMultilevel"/>
    <w:tmpl w:val="E5E65F6C"/>
    <w:lvl w:ilvl="0" w:tplc="AF12BDF0">
      <w:start w:val="2"/>
      <w:numFmt w:val="bullet"/>
      <w:lvlText w:val="-"/>
      <w:lvlJc w:val="left"/>
      <w:pPr>
        <w:ind w:left="720" w:hanging="360"/>
      </w:pPr>
      <w:rPr>
        <w:rFonts w:ascii="Calibri" w:eastAsiaTheme="minorHAnsi" w:hAnsi="Calibri" w:cs="Calibri" w:hint="default"/>
      </w:rPr>
    </w:lvl>
    <w:lvl w:ilvl="1" w:tplc="AF12BDF0">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09107C"/>
    <w:multiLevelType w:val="hybridMultilevel"/>
    <w:tmpl w:val="8A3EE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4DF46F1"/>
    <w:multiLevelType w:val="hybridMultilevel"/>
    <w:tmpl w:val="C0F85D72"/>
    <w:lvl w:ilvl="0" w:tplc="671875B0">
      <w:start w:val="10"/>
      <w:numFmt w:val="decimal"/>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EE0209"/>
    <w:multiLevelType w:val="hybridMultilevel"/>
    <w:tmpl w:val="07BA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475687"/>
    <w:multiLevelType w:val="hybridMultilevel"/>
    <w:tmpl w:val="C082D1DE"/>
    <w:lvl w:ilvl="0" w:tplc="BDD2C8CC">
      <w:start w:val="5"/>
      <w:numFmt w:val="decimal"/>
      <w:lvlText w:val="Table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918427C"/>
    <w:multiLevelType w:val="hybridMultilevel"/>
    <w:tmpl w:val="B262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F15E4"/>
    <w:multiLevelType w:val="hybridMultilevel"/>
    <w:tmpl w:val="2E1AE6CC"/>
    <w:lvl w:ilvl="0" w:tplc="627E18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27B23"/>
    <w:multiLevelType w:val="hybridMultilevel"/>
    <w:tmpl w:val="8474F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530D34"/>
    <w:multiLevelType w:val="hybridMultilevel"/>
    <w:tmpl w:val="4F328D66"/>
    <w:lvl w:ilvl="0" w:tplc="DE54EAE4">
      <w:start w:val="5"/>
      <w:numFmt w:val="decimal"/>
      <w:lvlText w:val="%1"/>
      <w:lvlJc w:val="left"/>
      <w:pPr>
        <w:ind w:left="720" w:hanging="360"/>
      </w:pPr>
      <w:rPr>
        <w:rFonts w:ascii="Calibri" w:hAnsi="Calibri" w:hint="default"/>
        <w:sz w:val="20"/>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3853F2"/>
    <w:multiLevelType w:val="hybridMultilevel"/>
    <w:tmpl w:val="4FFAA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ED74A3"/>
    <w:multiLevelType w:val="hybridMultilevel"/>
    <w:tmpl w:val="C85C2A46"/>
    <w:lvl w:ilvl="0" w:tplc="440AC0B8">
      <w:start w:val="9"/>
      <w:numFmt w:val="decimal"/>
      <w:lvlText w:val="Table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052452F"/>
    <w:multiLevelType w:val="hybridMultilevel"/>
    <w:tmpl w:val="060C7C70"/>
    <w:lvl w:ilvl="0" w:tplc="1AB260F8">
      <w:start w:val="1"/>
      <w:numFmt w:val="decimal"/>
      <w:lvlText w:val="Table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264434A"/>
    <w:multiLevelType w:val="hybridMultilevel"/>
    <w:tmpl w:val="4A306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FD7311"/>
    <w:multiLevelType w:val="hybridMultilevel"/>
    <w:tmpl w:val="5D667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843B5F"/>
    <w:multiLevelType w:val="hybridMultilevel"/>
    <w:tmpl w:val="F932AB48"/>
    <w:lvl w:ilvl="0" w:tplc="8AAA43BA">
      <w:start w:val="1"/>
      <w:numFmt w:val="decimal"/>
      <w:lvlText w:val="Table 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01C103E"/>
    <w:multiLevelType w:val="hybridMultilevel"/>
    <w:tmpl w:val="B8341E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5">
    <w:nsid w:val="536925B8"/>
    <w:multiLevelType w:val="hybridMultilevel"/>
    <w:tmpl w:val="7FF8D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A25E48"/>
    <w:multiLevelType w:val="hybridMultilevel"/>
    <w:tmpl w:val="76DA2DF0"/>
    <w:lvl w:ilvl="0" w:tplc="AF12BDF0">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632575"/>
    <w:multiLevelType w:val="hybridMultilevel"/>
    <w:tmpl w:val="7A629472"/>
    <w:lvl w:ilvl="0" w:tplc="2D2C4D58">
      <w:start w:val="1"/>
      <w:numFmt w:val="decimal"/>
      <w:lvlText w:val="Bo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7B37C9"/>
    <w:multiLevelType w:val="hybridMultilevel"/>
    <w:tmpl w:val="C1AA0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3A610B"/>
    <w:multiLevelType w:val="hybridMultilevel"/>
    <w:tmpl w:val="51F6B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7A75A1"/>
    <w:multiLevelType w:val="hybridMultilevel"/>
    <w:tmpl w:val="708ACA9A"/>
    <w:lvl w:ilvl="0" w:tplc="3118D59C">
      <w:start w:val="4"/>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987E96"/>
    <w:multiLevelType w:val="hybridMultilevel"/>
    <w:tmpl w:val="89C841C0"/>
    <w:lvl w:ilvl="0" w:tplc="5058DA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F9057B"/>
    <w:multiLevelType w:val="hybridMultilevel"/>
    <w:tmpl w:val="B622B64A"/>
    <w:lvl w:ilvl="0" w:tplc="D9845CEE">
      <w:start w:val="1"/>
      <w:numFmt w:val="decimal"/>
      <w:lvlText w:val="Table B%1:"/>
      <w:lvlJc w:val="left"/>
      <w:pPr>
        <w:ind w:left="720" w:hanging="360"/>
      </w:pPr>
      <w:rPr>
        <w:rFonts w:hint="default"/>
        <w:b/>
        <w:color w:val="244061"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42465B"/>
    <w:multiLevelType w:val="hybridMultilevel"/>
    <w:tmpl w:val="A1D6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4A12C6"/>
    <w:multiLevelType w:val="hybridMultilevel"/>
    <w:tmpl w:val="4D8449CA"/>
    <w:lvl w:ilvl="0" w:tplc="25B03C14">
      <w:start w:val="17"/>
      <w:numFmt w:val="decimal"/>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646D8F"/>
    <w:multiLevelType w:val="hybridMultilevel"/>
    <w:tmpl w:val="A0FC773A"/>
    <w:lvl w:ilvl="0" w:tplc="E3F84C4E">
      <w:start w:val="2"/>
      <w:numFmt w:val="decimal"/>
      <w:lvlText w:val="Table B%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FCA070F"/>
    <w:multiLevelType w:val="hybridMultilevel"/>
    <w:tmpl w:val="B622B64A"/>
    <w:lvl w:ilvl="0" w:tplc="D9845CEE">
      <w:start w:val="1"/>
      <w:numFmt w:val="decimal"/>
      <w:lvlText w:val="Table B%1:"/>
      <w:lvlJc w:val="left"/>
      <w:pPr>
        <w:ind w:left="720" w:hanging="360"/>
      </w:pPr>
      <w:rPr>
        <w:rFonts w:hint="default"/>
        <w:b/>
        <w:color w:val="244061" w:themeColor="accent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4E90864"/>
    <w:multiLevelType w:val="hybridMultilevel"/>
    <w:tmpl w:val="3E886108"/>
    <w:lvl w:ilvl="0" w:tplc="98BCDFE4">
      <w:start w:val="3"/>
      <w:numFmt w:val="decimal"/>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206662"/>
    <w:multiLevelType w:val="hybridMultilevel"/>
    <w:tmpl w:val="FE70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8D03F0"/>
    <w:multiLevelType w:val="hybridMultilevel"/>
    <w:tmpl w:val="130E6BDC"/>
    <w:lvl w:ilvl="0" w:tplc="AF12BDF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7719DD"/>
    <w:multiLevelType w:val="hybridMultilevel"/>
    <w:tmpl w:val="5A2E0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A206DD"/>
    <w:multiLevelType w:val="hybridMultilevel"/>
    <w:tmpl w:val="E1AAB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BB36EF"/>
    <w:multiLevelType w:val="hybridMultilevel"/>
    <w:tmpl w:val="60D08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7E5523"/>
    <w:multiLevelType w:val="hybridMultilevel"/>
    <w:tmpl w:val="8F0AE64E"/>
    <w:lvl w:ilvl="0" w:tplc="8D522FC8">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20"/>
  </w:num>
  <w:num w:numId="5">
    <w:abstractNumId w:val="27"/>
  </w:num>
  <w:num w:numId="6">
    <w:abstractNumId w:val="37"/>
  </w:num>
  <w:num w:numId="7">
    <w:abstractNumId w:val="13"/>
  </w:num>
  <w:num w:numId="8">
    <w:abstractNumId w:val="1"/>
  </w:num>
  <w:num w:numId="9">
    <w:abstractNumId w:val="14"/>
  </w:num>
  <w:num w:numId="10">
    <w:abstractNumId w:val="10"/>
  </w:num>
  <w:num w:numId="11">
    <w:abstractNumId w:val="31"/>
  </w:num>
  <w:num w:numId="12">
    <w:abstractNumId w:val="7"/>
  </w:num>
  <w:num w:numId="13">
    <w:abstractNumId w:val="12"/>
  </w:num>
  <w:num w:numId="14">
    <w:abstractNumId w:val="38"/>
  </w:num>
  <w:num w:numId="15">
    <w:abstractNumId w:val="22"/>
  </w:num>
  <w:num w:numId="16">
    <w:abstractNumId w:val="21"/>
  </w:num>
  <w:num w:numId="17">
    <w:abstractNumId w:val="16"/>
  </w:num>
  <w:num w:numId="18">
    <w:abstractNumId w:val="3"/>
  </w:num>
  <w:num w:numId="19">
    <w:abstractNumId w:val="18"/>
  </w:num>
  <w:num w:numId="20">
    <w:abstractNumId w:val="30"/>
  </w:num>
  <w:num w:numId="21">
    <w:abstractNumId w:val="41"/>
  </w:num>
  <w:num w:numId="22">
    <w:abstractNumId w:val="8"/>
  </w:num>
  <w:num w:numId="23">
    <w:abstractNumId w:val="15"/>
  </w:num>
  <w:num w:numId="24">
    <w:abstractNumId w:val="11"/>
  </w:num>
  <w:num w:numId="25">
    <w:abstractNumId w:val="5"/>
  </w:num>
  <w:num w:numId="26">
    <w:abstractNumId w:val="34"/>
  </w:num>
  <w:num w:numId="27">
    <w:abstractNumId w:val="6"/>
  </w:num>
  <w:num w:numId="28">
    <w:abstractNumId w:val="36"/>
  </w:num>
  <w:num w:numId="29">
    <w:abstractNumId w:val="23"/>
  </w:num>
  <w:num w:numId="30">
    <w:abstractNumId w:val="35"/>
  </w:num>
  <w:num w:numId="31">
    <w:abstractNumId w:val="39"/>
  </w:num>
  <w:num w:numId="32">
    <w:abstractNumId w:val="28"/>
  </w:num>
  <w:num w:numId="33">
    <w:abstractNumId w:val="26"/>
  </w:num>
  <w:num w:numId="34">
    <w:abstractNumId w:val="9"/>
  </w:num>
  <w:num w:numId="35">
    <w:abstractNumId w:val="2"/>
  </w:num>
  <w:num w:numId="36">
    <w:abstractNumId w:val="17"/>
  </w:num>
  <w:num w:numId="37">
    <w:abstractNumId w:val="43"/>
  </w:num>
  <w:num w:numId="38">
    <w:abstractNumId w:val="40"/>
  </w:num>
  <w:num w:numId="39">
    <w:abstractNumId w:val="25"/>
  </w:num>
  <w:num w:numId="40">
    <w:abstractNumId w:val="42"/>
  </w:num>
  <w:num w:numId="41">
    <w:abstractNumId w:val="33"/>
  </w:num>
  <w:num w:numId="42">
    <w:abstractNumId w:val="29"/>
  </w:num>
  <w:num w:numId="43">
    <w:abstractNumId w:val="32"/>
  </w:num>
  <w:num w:numId="44">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rsids>
    <w:rsidRoot w:val="00092D62"/>
    <w:rsid w:val="0000049A"/>
    <w:rsid w:val="00000763"/>
    <w:rsid w:val="00000B31"/>
    <w:rsid w:val="00000C8D"/>
    <w:rsid w:val="0000129D"/>
    <w:rsid w:val="00001416"/>
    <w:rsid w:val="00002584"/>
    <w:rsid w:val="00002941"/>
    <w:rsid w:val="00004075"/>
    <w:rsid w:val="000040CF"/>
    <w:rsid w:val="00004792"/>
    <w:rsid w:val="0000540C"/>
    <w:rsid w:val="00005DC3"/>
    <w:rsid w:val="000077A2"/>
    <w:rsid w:val="00011247"/>
    <w:rsid w:val="000115C4"/>
    <w:rsid w:val="000133E4"/>
    <w:rsid w:val="00015B52"/>
    <w:rsid w:val="00015F52"/>
    <w:rsid w:val="00016433"/>
    <w:rsid w:val="00017537"/>
    <w:rsid w:val="000178F6"/>
    <w:rsid w:val="00017CE9"/>
    <w:rsid w:val="000207A9"/>
    <w:rsid w:val="000207C3"/>
    <w:rsid w:val="000208CD"/>
    <w:rsid w:val="00020979"/>
    <w:rsid w:val="0002193C"/>
    <w:rsid w:val="00021DAA"/>
    <w:rsid w:val="00021DDB"/>
    <w:rsid w:val="000221C6"/>
    <w:rsid w:val="000225D6"/>
    <w:rsid w:val="00022686"/>
    <w:rsid w:val="000254EB"/>
    <w:rsid w:val="0002592F"/>
    <w:rsid w:val="000260FE"/>
    <w:rsid w:val="00026122"/>
    <w:rsid w:val="000265D8"/>
    <w:rsid w:val="00026B29"/>
    <w:rsid w:val="00026E20"/>
    <w:rsid w:val="0003250E"/>
    <w:rsid w:val="0003288A"/>
    <w:rsid w:val="00033832"/>
    <w:rsid w:val="0003608E"/>
    <w:rsid w:val="0003614E"/>
    <w:rsid w:val="000367F6"/>
    <w:rsid w:val="00036E8B"/>
    <w:rsid w:val="00037078"/>
    <w:rsid w:val="00037789"/>
    <w:rsid w:val="00037A4C"/>
    <w:rsid w:val="00037AE8"/>
    <w:rsid w:val="00041718"/>
    <w:rsid w:val="00042461"/>
    <w:rsid w:val="000428B1"/>
    <w:rsid w:val="00043317"/>
    <w:rsid w:val="000437AD"/>
    <w:rsid w:val="000438FE"/>
    <w:rsid w:val="00044546"/>
    <w:rsid w:val="0004500E"/>
    <w:rsid w:val="00045108"/>
    <w:rsid w:val="00045525"/>
    <w:rsid w:val="000471D6"/>
    <w:rsid w:val="00047FA0"/>
    <w:rsid w:val="0005011C"/>
    <w:rsid w:val="00050422"/>
    <w:rsid w:val="000511BC"/>
    <w:rsid w:val="00052B38"/>
    <w:rsid w:val="00052C7A"/>
    <w:rsid w:val="00052F40"/>
    <w:rsid w:val="000539CE"/>
    <w:rsid w:val="00054906"/>
    <w:rsid w:val="000555E8"/>
    <w:rsid w:val="00055DA7"/>
    <w:rsid w:val="00056168"/>
    <w:rsid w:val="00056FB1"/>
    <w:rsid w:val="000573CC"/>
    <w:rsid w:val="00057751"/>
    <w:rsid w:val="0006068B"/>
    <w:rsid w:val="00060D68"/>
    <w:rsid w:val="00060FE0"/>
    <w:rsid w:val="00061AEC"/>
    <w:rsid w:val="00062589"/>
    <w:rsid w:val="00062E71"/>
    <w:rsid w:val="00063138"/>
    <w:rsid w:val="00063ED9"/>
    <w:rsid w:val="000644F1"/>
    <w:rsid w:val="00064E3C"/>
    <w:rsid w:val="000660C9"/>
    <w:rsid w:val="000663EB"/>
    <w:rsid w:val="00066EA9"/>
    <w:rsid w:val="00067150"/>
    <w:rsid w:val="00067B01"/>
    <w:rsid w:val="00067F1A"/>
    <w:rsid w:val="00067FB8"/>
    <w:rsid w:val="000704FD"/>
    <w:rsid w:val="00070C2D"/>
    <w:rsid w:val="00070D92"/>
    <w:rsid w:val="00072464"/>
    <w:rsid w:val="00072A4B"/>
    <w:rsid w:val="00072FD2"/>
    <w:rsid w:val="000733BB"/>
    <w:rsid w:val="000743C1"/>
    <w:rsid w:val="00074505"/>
    <w:rsid w:val="0007452C"/>
    <w:rsid w:val="0007472F"/>
    <w:rsid w:val="00074F3F"/>
    <w:rsid w:val="000753A0"/>
    <w:rsid w:val="000758F8"/>
    <w:rsid w:val="00076165"/>
    <w:rsid w:val="000761A7"/>
    <w:rsid w:val="000766D9"/>
    <w:rsid w:val="00076B14"/>
    <w:rsid w:val="00077CEA"/>
    <w:rsid w:val="00077EFE"/>
    <w:rsid w:val="00081403"/>
    <w:rsid w:val="00082282"/>
    <w:rsid w:val="000824BF"/>
    <w:rsid w:val="000825CF"/>
    <w:rsid w:val="00083109"/>
    <w:rsid w:val="00083291"/>
    <w:rsid w:val="000832DE"/>
    <w:rsid w:val="0008353F"/>
    <w:rsid w:val="0008495E"/>
    <w:rsid w:val="00084E18"/>
    <w:rsid w:val="0008541F"/>
    <w:rsid w:val="00086615"/>
    <w:rsid w:val="00087F72"/>
    <w:rsid w:val="00091761"/>
    <w:rsid w:val="00091A72"/>
    <w:rsid w:val="00091CF1"/>
    <w:rsid w:val="000926F1"/>
    <w:rsid w:val="00092D62"/>
    <w:rsid w:val="00092ED5"/>
    <w:rsid w:val="00093DD3"/>
    <w:rsid w:val="000959D7"/>
    <w:rsid w:val="00095C94"/>
    <w:rsid w:val="00095E7C"/>
    <w:rsid w:val="000961B6"/>
    <w:rsid w:val="00096AB9"/>
    <w:rsid w:val="00096C6F"/>
    <w:rsid w:val="00097067"/>
    <w:rsid w:val="000A00CE"/>
    <w:rsid w:val="000A04F6"/>
    <w:rsid w:val="000A0DBF"/>
    <w:rsid w:val="000A0E2F"/>
    <w:rsid w:val="000A1ECF"/>
    <w:rsid w:val="000A2395"/>
    <w:rsid w:val="000A357B"/>
    <w:rsid w:val="000A3652"/>
    <w:rsid w:val="000A37FE"/>
    <w:rsid w:val="000A396A"/>
    <w:rsid w:val="000A4550"/>
    <w:rsid w:val="000A7141"/>
    <w:rsid w:val="000A77AE"/>
    <w:rsid w:val="000A7B69"/>
    <w:rsid w:val="000B030B"/>
    <w:rsid w:val="000B087E"/>
    <w:rsid w:val="000B1858"/>
    <w:rsid w:val="000B1FF3"/>
    <w:rsid w:val="000B243F"/>
    <w:rsid w:val="000B256A"/>
    <w:rsid w:val="000B2E3C"/>
    <w:rsid w:val="000B2EF5"/>
    <w:rsid w:val="000B3317"/>
    <w:rsid w:val="000B3383"/>
    <w:rsid w:val="000B37CD"/>
    <w:rsid w:val="000B3FE1"/>
    <w:rsid w:val="000B5243"/>
    <w:rsid w:val="000B5D82"/>
    <w:rsid w:val="000B66E9"/>
    <w:rsid w:val="000B7903"/>
    <w:rsid w:val="000C002F"/>
    <w:rsid w:val="000C0253"/>
    <w:rsid w:val="000C2569"/>
    <w:rsid w:val="000C2582"/>
    <w:rsid w:val="000C38D5"/>
    <w:rsid w:val="000C3DD3"/>
    <w:rsid w:val="000C54D3"/>
    <w:rsid w:val="000C6657"/>
    <w:rsid w:val="000C7A2B"/>
    <w:rsid w:val="000C7B7F"/>
    <w:rsid w:val="000C7D33"/>
    <w:rsid w:val="000D02B8"/>
    <w:rsid w:val="000D14AC"/>
    <w:rsid w:val="000D2CDA"/>
    <w:rsid w:val="000D3E91"/>
    <w:rsid w:val="000D56BF"/>
    <w:rsid w:val="000D5935"/>
    <w:rsid w:val="000D631B"/>
    <w:rsid w:val="000D6575"/>
    <w:rsid w:val="000D6E70"/>
    <w:rsid w:val="000E01E8"/>
    <w:rsid w:val="000E0298"/>
    <w:rsid w:val="000E0348"/>
    <w:rsid w:val="000E063F"/>
    <w:rsid w:val="000E114E"/>
    <w:rsid w:val="000E13CC"/>
    <w:rsid w:val="000E1506"/>
    <w:rsid w:val="000E1D42"/>
    <w:rsid w:val="000E1DFD"/>
    <w:rsid w:val="000E398E"/>
    <w:rsid w:val="000E3C11"/>
    <w:rsid w:val="000E4372"/>
    <w:rsid w:val="000E68F9"/>
    <w:rsid w:val="000E7135"/>
    <w:rsid w:val="000E7877"/>
    <w:rsid w:val="000E790C"/>
    <w:rsid w:val="000F0644"/>
    <w:rsid w:val="000F2133"/>
    <w:rsid w:val="000F3333"/>
    <w:rsid w:val="000F382B"/>
    <w:rsid w:val="000F566F"/>
    <w:rsid w:val="00101638"/>
    <w:rsid w:val="001022E4"/>
    <w:rsid w:val="00102B4D"/>
    <w:rsid w:val="00102E5F"/>
    <w:rsid w:val="001036CC"/>
    <w:rsid w:val="00104641"/>
    <w:rsid w:val="00104DF8"/>
    <w:rsid w:val="001054B0"/>
    <w:rsid w:val="001061EB"/>
    <w:rsid w:val="00106D93"/>
    <w:rsid w:val="00107A14"/>
    <w:rsid w:val="00110955"/>
    <w:rsid w:val="00110B17"/>
    <w:rsid w:val="0011276F"/>
    <w:rsid w:val="001135F1"/>
    <w:rsid w:val="00113B5F"/>
    <w:rsid w:val="001141F0"/>
    <w:rsid w:val="001141FF"/>
    <w:rsid w:val="00114340"/>
    <w:rsid w:val="00114509"/>
    <w:rsid w:val="00114827"/>
    <w:rsid w:val="00114CB8"/>
    <w:rsid w:val="00116B2B"/>
    <w:rsid w:val="001177A3"/>
    <w:rsid w:val="001179E3"/>
    <w:rsid w:val="00117B11"/>
    <w:rsid w:val="00123D70"/>
    <w:rsid w:val="00124398"/>
    <w:rsid w:val="001244A2"/>
    <w:rsid w:val="00125C8D"/>
    <w:rsid w:val="00127385"/>
    <w:rsid w:val="00127F99"/>
    <w:rsid w:val="001307E5"/>
    <w:rsid w:val="00130E1D"/>
    <w:rsid w:val="00132259"/>
    <w:rsid w:val="001323AC"/>
    <w:rsid w:val="00132F69"/>
    <w:rsid w:val="001330D8"/>
    <w:rsid w:val="001348C5"/>
    <w:rsid w:val="00134911"/>
    <w:rsid w:val="00134953"/>
    <w:rsid w:val="001357BD"/>
    <w:rsid w:val="001357C5"/>
    <w:rsid w:val="001357D4"/>
    <w:rsid w:val="00136C8A"/>
    <w:rsid w:val="00137D9F"/>
    <w:rsid w:val="00140365"/>
    <w:rsid w:val="001403F2"/>
    <w:rsid w:val="0014083E"/>
    <w:rsid w:val="001412B9"/>
    <w:rsid w:val="0014180C"/>
    <w:rsid w:val="00141DFB"/>
    <w:rsid w:val="00144B21"/>
    <w:rsid w:val="00145046"/>
    <w:rsid w:val="00145223"/>
    <w:rsid w:val="001465ED"/>
    <w:rsid w:val="00151AD9"/>
    <w:rsid w:val="00152972"/>
    <w:rsid w:val="00152A54"/>
    <w:rsid w:val="00152FD3"/>
    <w:rsid w:val="00153BFD"/>
    <w:rsid w:val="00154363"/>
    <w:rsid w:val="00154425"/>
    <w:rsid w:val="001550C1"/>
    <w:rsid w:val="00155A00"/>
    <w:rsid w:val="0015662D"/>
    <w:rsid w:val="00156D33"/>
    <w:rsid w:val="001615AC"/>
    <w:rsid w:val="001624E6"/>
    <w:rsid w:val="001629F8"/>
    <w:rsid w:val="001646BB"/>
    <w:rsid w:val="001646F1"/>
    <w:rsid w:val="00165F2D"/>
    <w:rsid w:val="001663E0"/>
    <w:rsid w:val="001665CC"/>
    <w:rsid w:val="0016761C"/>
    <w:rsid w:val="001705D8"/>
    <w:rsid w:val="00170782"/>
    <w:rsid w:val="00171D63"/>
    <w:rsid w:val="00174CE0"/>
    <w:rsid w:val="0017509D"/>
    <w:rsid w:val="001754B0"/>
    <w:rsid w:val="00175A4C"/>
    <w:rsid w:val="00175AD4"/>
    <w:rsid w:val="00177716"/>
    <w:rsid w:val="00180044"/>
    <w:rsid w:val="0018094B"/>
    <w:rsid w:val="00181251"/>
    <w:rsid w:val="001826BE"/>
    <w:rsid w:val="00183540"/>
    <w:rsid w:val="001841A8"/>
    <w:rsid w:val="00184D32"/>
    <w:rsid w:val="00185286"/>
    <w:rsid w:val="00185FEA"/>
    <w:rsid w:val="001860BA"/>
    <w:rsid w:val="001865D2"/>
    <w:rsid w:val="00186A71"/>
    <w:rsid w:val="0018714D"/>
    <w:rsid w:val="0018767F"/>
    <w:rsid w:val="00187F63"/>
    <w:rsid w:val="00190521"/>
    <w:rsid w:val="001917EF"/>
    <w:rsid w:val="00193358"/>
    <w:rsid w:val="00194A7D"/>
    <w:rsid w:val="001952C8"/>
    <w:rsid w:val="00195A33"/>
    <w:rsid w:val="001960DF"/>
    <w:rsid w:val="00196476"/>
    <w:rsid w:val="001966D7"/>
    <w:rsid w:val="00197244"/>
    <w:rsid w:val="0019743A"/>
    <w:rsid w:val="001975E0"/>
    <w:rsid w:val="001978FB"/>
    <w:rsid w:val="001979DE"/>
    <w:rsid w:val="00197CAD"/>
    <w:rsid w:val="00197D9B"/>
    <w:rsid w:val="001A11F3"/>
    <w:rsid w:val="001A14FC"/>
    <w:rsid w:val="001A1B7E"/>
    <w:rsid w:val="001A1DB1"/>
    <w:rsid w:val="001A1E2F"/>
    <w:rsid w:val="001A26BD"/>
    <w:rsid w:val="001A2EA2"/>
    <w:rsid w:val="001A33E5"/>
    <w:rsid w:val="001A45C9"/>
    <w:rsid w:val="001A4B7F"/>
    <w:rsid w:val="001A5596"/>
    <w:rsid w:val="001A58B1"/>
    <w:rsid w:val="001A7663"/>
    <w:rsid w:val="001B13CB"/>
    <w:rsid w:val="001B16E9"/>
    <w:rsid w:val="001B4AA2"/>
    <w:rsid w:val="001B5072"/>
    <w:rsid w:val="001B559B"/>
    <w:rsid w:val="001B6B5D"/>
    <w:rsid w:val="001B7315"/>
    <w:rsid w:val="001B7846"/>
    <w:rsid w:val="001C0BAE"/>
    <w:rsid w:val="001C0C76"/>
    <w:rsid w:val="001C0E5F"/>
    <w:rsid w:val="001C17E1"/>
    <w:rsid w:val="001C2947"/>
    <w:rsid w:val="001C2DBC"/>
    <w:rsid w:val="001C3812"/>
    <w:rsid w:val="001C3A02"/>
    <w:rsid w:val="001C3D59"/>
    <w:rsid w:val="001C430F"/>
    <w:rsid w:val="001C4DAE"/>
    <w:rsid w:val="001C5B85"/>
    <w:rsid w:val="001C68E4"/>
    <w:rsid w:val="001C6956"/>
    <w:rsid w:val="001C7486"/>
    <w:rsid w:val="001C7C75"/>
    <w:rsid w:val="001D0361"/>
    <w:rsid w:val="001D038A"/>
    <w:rsid w:val="001D04F7"/>
    <w:rsid w:val="001D109D"/>
    <w:rsid w:val="001D414C"/>
    <w:rsid w:val="001D4B3B"/>
    <w:rsid w:val="001D4CEF"/>
    <w:rsid w:val="001D6871"/>
    <w:rsid w:val="001D6A53"/>
    <w:rsid w:val="001D79A8"/>
    <w:rsid w:val="001E1F93"/>
    <w:rsid w:val="001E26BA"/>
    <w:rsid w:val="001E3299"/>
    <w:rsid w:val="001E3CB6"/>
    <w:rsid w:val="001E61C8"/>
    <w:rsid w:val="001E6726"/>
    <w:rsid w:val="001E6C82"/>
    <w:rsid w:val="001E6DFB"/>
    <w:rsid w:val="001E7801"/>
    <w:rsid w:val="001F0ADA"/>
    <w:rsid w:val="001F143D"/>
    <w:rsid w:val="001F1DB3"/>
    <w:rsid w:val="001F1E22"/>
    <w:rsid w:val="001F20DC"/>
    <w:rsid w:val="001F3D30"/>
    <w:rsid w:val="001F3E74"/>
    <w:rsid w:val="001F4532"/>
    <w:rsid w:val="001F59CF"/>
    <w:rsid w:val="001F60FC"/>
    <w:rsid w:val="001F7995"/>
    <w:rsid w:val="001F7B92"/>
    <w:rsid w:val="001F7CFC"/>
    <w:rsid w:val="00200494"/>
    <w:rsid w:val="00200A04"/>
    <w:rsid w:val="0020115C"/>
    <w:rsid w:val="0020174D"/>
    <w:rsid w:val="002018F5"/>
    <w:rsid w:val="00202770"/>
    <w:rsid w:val="002033DA"/>
    <w:rsid w:val="0020449D"/>
    <w:rsid w:val="002052E5"/>
    <w:rsid w:val="0020583F"/>
    <w:rsid w:val="00205C6C"/>
    <w:rsid w:val="00205CB0"/>
    <w:rsid w:val="00205E2A"/>
    <w:rsid w:val="002060DD"/>
    <w:rsid w:val="00207CCA"/>
    <w:rsid w:val="00210189"/>
    <w:rsid w:val="00210B62"/>
    <w:rsid w:val="00211462"/>
    <w:rsid w:val="00211567"/>
    <w:rsid w:val="00211D68"/>
    <w:rsid w:val="0021305E"/>
    <w:rsid w:val="0021525E"/>
    <w:rsid w:val="00215494"/>
    <w:rsid w:val="0021562F"/>
    <w:rsid w:val="00216D84"/>
    <w:rsid w:val="002173B5"/>
    <w:rsid w:val="00217A84"/>
    <w:rsid w:val="00220414"/>
    <w:rsid w:val="002212BD"/>
    <w:rsid w:val="002226D6"/>
    <w:rsid w:val="00222882"/>
    <w:rsid w:val="00222DEA"/>
    <w:rsid w:val="0022487D"/>
    <w:rsid w:val="00224D70"/>
    <w:rsid w:val="0022774C"/>
    <w:rsid w:val="00227D2A"/>
    <w:rsid w:val="00227E97"/>
    <w:rsid w:val="00230EE5"/>
    <w:rsid w:val="00231088"/>
    <w:rsid w:val="002313A5"/>
    <w:rsid w:val="00231618"/>
    <w:rsid w:val="00231893"/>
    <w:rsid w:val="0023207E"/>
    <w:rsid w:val="0023362F"/>
    <w:rsid w:val="00233E8A"/>
    <w:rsid w:val="0023418B"/>
    <w:rsid w:val="00234DD0"/>
    <w:rsid w:val="00235987"/>
    <w:rsid w:val="00235C34"/>
    <w:rsid w:val="002360D3"/>
    <w:rsid w:val="00237874"/>
    <w:rsid w:val="002402D4"/>
    <w:rsid w:val="00240A02"/>
    <w:rsid w:val="002419A2"/>
    <w:rsid w:val="00243D49"/>
    <w:rsid w:val="00243E7E"/>
    <w:rsid w:val="00244560"/>
    <w:rsid w:val="00246B6B"/>
    <w:rsid w:val="00246C9A"/>
    <w:rsid w:val="00247AD3"/>
    <w:rsid w:val="00250748"/>
    <w:rsid w:val="0025114A"/>
    <w:rsid w:val="002524DE"/>
    <w:rsid w:val="0025293E"/>
    <w:rsid w:val="00252C1B"/>
    <w:rsid w:val="002531CB"/>
    <w:rsid w:val="0025332C"/>
    <w:rsid w:val="00253CBC"/>
    <w:rsid w:val="00254768"/>
    <w:rsid w:val="002548A2"/>
    <w:rsid w:val="002551A8"/>
    <w:rsid w:val="00255963"/>
    <w:rsid w:val="00255A06"/>
    <w:rsid w:val="00255F5F"/>
    <w:rsid w:val="002574DE"/>
    <w:rsid w:val="00257824"/>
    <w:rsid w:val="0025797E"/>
    <w:rsid w:val="00257B0D"/>
    <w:rsid w:val="00257BED"/>
    <w:rsid w:val="00257CD1"/>
    <w:rsid w:val="00260062"/>
    <w:rsid w:val="0026116F"/>
    <w:rsid w:val="002615F5"/>
    <w:rsid w:val="002619E0"/>
    <w:rsid w:val="00261EA2"/>
    <w:rsid w:val="00263047"/>
    <w:rsid w:val="002644C8"/>
    <w:rsid w:val="00264C2E"/>
    <w:rsid w:val="00264FA5"/>
    <w:rsid w:val="00265213"/>
    <w:rsid w:val="00265739"/>
    <w:rsid w:val="002658D6"/>
    <w:rsid w:val="00265ABF"/>
    <w:rsid w:val="00265C61"/>
    <w:rsid w:val="00266E2B"/>
    <w:rsid w:val="00267561"/>
    <w:rsid w:val="0026797B"/>
    <w:rsid w:val="00267F14"/>
    <w:rsid w:val="0027086B"/>
    <w:rsid w:val="00270CD5"/>
    <w:rsid w:val="00273A32"/>
    <w:rsid w:val="002750ED"/>
    <w:rsid w:val="0027510D"/>
    <w:rsid w:val="00276A04"/>
    <w:rsid w:val="00276B55"/>
    <w:rsid w:val="00276FAD"/>
    <w:rsid w:val="002777AE"/>
    <w:rsid w:val="00277FF8"/>
    <w:rsid w:val="002821CB"/>
    <w:rsid w:val="00282208"/>
    <w:rsid w:val="00282429"/>
    <w:rsid w:val="00282669"/>
    <w:rsid w:val="00282AD6"/>
    <w:rsid w:val="00282C67"/>
    <w:rsid w:val="0028349C"/>
    <w:rsid w:val="0028362B"/>
    <w:rsid w:val="002839E1"/>
    <w:rsid w:val="00284954"/>
    <w:rsid w:val="00284BB9"/>
    <w:rsid w:val="00285A1E"/>
    <w:rsid w:val="00286DBC"/>
    <w:rsid w:val="00287AC8"/>
    <w:rsid w:val="00287F47"/>
    <w:rsid w:val="00287FA5"/>
    <w:rsid w:val="0029045B"/>
    <w:rsid w:val="00290D7F"/>
    <w:rsid w:val="00291405"/>
    <w:rsid w:val="00291D3A"/>
    <w:rsid w:val="00291E46"/>
    <w:rsid w:val="00292A44"/>
    <w:rsid w:val="00292B18"/>
    <w:rsid w:val="00292C8E"/>
    <w:rsid w:val="00292FFF"/>
    <w:rsid w:val="002947CB"/>
    <w:rsid w:val="00294B85"/>
    <w:rsid w:val="0029512E"/>
    <w:rsid w:val="00295CDB"/>
    <w:rsid w:val="00296283"/>
    <w:rsid w:val="00296E90"/>
    <w:rsid w:val="0029732A"/>
    <w:rsid w:val="002A04B8"/>
    <w:rsid w:val="002A05D6"/>
    <w:rsid w:val="002A0DE8"/>
    <w:rsid w:val="002A0E10"/>
    <w:rsid w:val="002A0F8C"/>
    <w:rsid w:val="002A12E8"/>
    <w:rsid w:val="002A3527"/>
    <w:rsid w:val="002A3A6B"/>
    <w:rsid w:val="002A3B72"/>
    <w:rsid w:val="002A466B"/>
    <w:rsid w:val="002A4822"/>
    <w:rsid w:val="002A546E"/>
    <w:rsid w:val="002A59BA"/>
    <w:rsid w:val="002B048C"/>
    <w:rsid w:val="002B20AE"/>
    <w:rsid w:val="002B3DBA"/>
    <w:rsid w:val="002B4D9D"/>
    <w:rsid w:val="002B5272"/>
    <w:rsid w:val="002B554A"/>
    <w:rsid w:val="002B5675"/>
    <w:rsid w:val="002B6002"/>
    <w:rsid w:val="002B6838"/>
    <w:rsid w:val="002B7365"/>
    <w:rsid w:val="002C0BB8"/>
    <w:rsid w:val="002C1630"/>
    <w:rsid w:val="002C1C2F"/>
    <w:rsid w:val="002C3FF5"/>
    <w:rsid w:val="002C57CD"/>
    <w:rsid w:val="002C6E99"/>
    <w:rsid w:val="002C7BF0"/>
    <w:rsid w:val="002C7D05"/>
    <w:rsid w:val="002C7D4C"/>
    <w:rsid w:val="002D0796"/>
    <w:rsid w:val="002D0947"/>
    <w:rsid w:val="002D0A15"/>
    <w:rsid w:val="002D19CC"/>
    <w:rsid w:val="002D1C0C"/>
    <w:rsid w:val="002D21A4"/>
    <w:rsid w:val="002D2447"/>
    <w:rsid w:val="002D3C4C"/>
    <w:rsid w:val="002D4782"/>
    <w:rsid w:val="002D5070"/>
    <w:rsid w:val="002D7612"/>
    <w:rsid w:val="002D7C3B"/>
    <w:rsid w:val="002E019F"/>
    <w:rsid w:val="002E0588"/>
    <w:rsid w:val="002E16C3"/>
    <w:rsid w:val="002E224C"/>
    <w:rsid w:val="002E25C5"/>
    <w:rsid w:val="002E2E27"/>
    <w:rsid w:val="002E33F7"/>
    <w:rsid w:val="002E3527"/>
    <w:rsid w:val="002E3880"/>
    <w:rsid w:val="002E3B47"/>
    <w:rsid w:val="002E44B3"/>
    <w:rsid w:val="002E49C4"/>
    <w:rsid w:val="002E4FA4"/>
    <w:rsid w:val="002E4FCC"/>
    <w:rsid w:val="002E5063"/>
    <w:rsid w:val="002E62D8"/>
    <w:rsid w:val="002E6900"/>
    <w:rsid w:val="002E6BFE"/>
    <w:rsid w:val="002E6F5C"/>
    <w:rsid w:val="002E7902"/>
    <w:rsid w:val="002E7DC5"/>
    <w:rsid w:val="002F0DD4"/>
    <w:rsid w:val="002F150F"/>
    <w:rsid w:val="002F1895"/>
    <w:rsid w:val="002F202A"/>
    <w:rsid w:val="002F235E"/>
    <w:rsid w:val="002F27CD"/>
    <w:rsid w:val="002F2B4A"/>
    <w:rsid w:val="002F3424"/>
    <w:rsid w:val="002F35FE"/>
    <w:rsid w:val="002F418E"/>
    <w:rsid w:val="002F419A"/>
    <w:rsid w:val="002F4207"/>
    <w:rsid w:val="002F4612"/>
    <w:rsid w:val="002F5277"/>
    <w:rsid w:val="002F7765"/>
    <w:rsid w:val="002F7F65"/>
    <w:rsid w:val="0030096E"/>
    <w:rsid w:val="00302828"/>
    <w:rsid w:val="00302BA9"/>
    <w:rsid w:val="00302D83"/>
    <w:rsid w:val="0030456E"/>
    <w:rsid w:val="00304ED7"/>
    <w:rsid w:val="003054A6"/>
    <w:rsid w:val="00305D51"/>
    <w:rsid w:val="003065DF"/>
    <w:rsid w:val="00306F43"/>
    <w:rsid w:val="0030786E"/>
    <w:rsid w:val="00311AF7"/>
    <w:rsid w:val="003121CE"/>
    <w:rsid w:val="0031241F"/>
    <w:rsid w:val="0031320D"/>
    <w:rsid w:val="00313572"/>
    <w:rsid w:val="00313635"/>
    <w:rsid w:val="00314D54"/>
    <w:rsid w:val="00314E5E"/>
    <w:rsid w:val="00315276"/>
    <w:rsid w:val="0031560B"/>
    <w:rsid w:val="00315D8E"/>
    <w:rsid w:val="00316999"/>
    <w:rsid w:val="00317194"/>
    <w:rsid w:val="00317592"/>
    <w:rsid w:val="00317C96"/>
    <w:rsid w:val="00317F33"/>
    <w:rsid w:val="00320577"/>
    <w:rsid w:val="00320B10"/>
    <w:rsid w:val="00321009"/>
    <w:rsid w:val="00321159"/>
    <w:rsid w:val="003221B8"/>
    <w:rsid w:val="00322277"/>
    <w:rsid w:val="0032255C"/>
    <w:rsid w:val="0032314C"/>
    <w:rsid w:val="00323AC5"/>
    <w:rsid w:val="00323CC7"/>
    <w:rsid w:val="00324908"/>
    <w:rsid w:val="00325405"/>
    <w:rsid w:val="00326118"/>
    <w:rsid w:val="00327259"/>
    <w:rsid w:val="00327703"/>
    <w:rsid w:val="003304CA"/>
    <w:rsid w:val="0033060E"/>
    <w:rsid w:val="003312AF"/>
    <w:rsid w:val="00331B43"/>
    <w:rsid w:val="0033203C"/>
    <w:rsid w:val="00332888"/>
    <w:rsid w:val="00333C98"/>
    <w:rsid w:val="00333D08"/>
    <w:rsid w:val="00333F9A"/>
    <w:rsid w:val="00335034"/>
    <w:rsid w:val="00335AE5"/>
    <w:rsid w:val="00336D2E"/>
    <w:rsid w:val="0033723E"/>
    <w:rsid w:val="00340A0B"/>
    <w:rsid w:val="00341742"/>
    <w:rsid w:val="00341820"/>
    <w:rsid w:val="00341A44"/>
    <w:rsid w:val="00341E3E"/>
    <w:rsid w:val="00341F7D"/>
    <w:rsid w:val="00343433"/>
    <w:rsid w:val="003445D9"/>
    <w:rsid w:val="00344A1B"/>
    <w:rsid w:val="00344C2C"/>
    <w:rsid w:val="00344D5F"/>
    <w:rsid w:val="00344DC9"/>
    <w:rsid w:val="00344ECB"/>
    <w:rsid w:val="00345729"/>
    <w:rsid w:val="00345D48"/>
    <w:rsid w:val="003466FF"/>
    <w:rsid w:val="003475FD"/>
    <w:rsid w:val="00347ECB"/>
    <w:rsid w:val="00350D0E"/>
    <w:rsid w:val="00351A72"/>
    <w:rsid w:val="00353454"/>
    <w:rsid w:val="00353DEA"/>
    <w:rsid w:val="003546AA"/>
    <w:rsid w:val="00355066"/>
    <w:rsid w:val="00355A3B"/>
    <w:rsid w:val="0035638E"/>
    <w:rsid w:val="00356F24"/>
    <w:rsid w:val="00356FF7"/>
    <w:rsid w:val="0035719D"/>
    <w:rsid w:val="0035746A"/>
    <w:rsid w:val="003574BE"/>
    <w:rsid w:val="00357B4C"/>
    <w:rsid w:val="00360463"/>
    <w:rsid w:val="003610C9"/>
    <w:rsid w:val="0036179E"/>
    <w:rsid w:val="00362D5A"/>
    <w:rsid w:val="00364008"/>
    <w:rsid w:val="00364ACE"/>
    <w:rsid w:val="00365B77"/>
    <w:rsid w:val="0036629D"/>
    <w:rsid w:val="00366D6D"/>
    <w:rsid w:val="0036760D"/>
    <w:rsid w:val="00367888"/>
    <w:rsid w:val="00367E30"/>
    <w:rsid w:val="003707A1"/>
    <w:rsid w:val="00370EC9"/>
    <w:rsid w:val="00371F3C"/>
    <w:rsid w:val="00372E15"/>
    <w:rsid w:val="00373F92"/>
    <w:rsid w:val="003740E8"/>
    <w:rsid w:val="00376277"/>
    <w:rsid w:val="00376DE8"/>
    <w:rsid w:val="0037702C"/>
    <w:rsid w:val="00377081"/>
    <w:rsid w:val="00380396"/>
    <w:rsid w:val="003805AB"/>
    <w:rsid w:val="00381281"/>
    <w:rsid w:val="00382338"/>
    <w:rsid w:val="00382A25"/>
    <w:rsid w:val="00382FB3"/>
    <w:rsid w:val="00384BAD"/>
    <w:rsid w:val="00385C10"/>
    <w:rsid w:val="00385DD9"/>
    <w:rsid w:val="003860AC"/>
    <w:rsid w:val="00386190"/>
    <w:rsid w:val="00386D4B"/>
    <w:rsid w:val="003878CA"/>
    <w:rsid w:val="003879C2"/>
    <w:rsid w:val="003900E5"/>
    <w:rsid w:val="00390354"/>
    <w:rsid w:val="003914BC"/>
    <w:rsid w:val="00391D5E"/>
    <w:rsid w:val="00391EF3"/>
    <w:rsid w:val="003921E0"/>
    <w:rsid w:val="00392303"/>
    <w:rsid w:val="00392B8E"/>
    <w:rsid w:val="00394309"/>
    <w:rsid w:val="003945F4"/>
    <w:rsid w:val="00394717"/>
    <w:rsid w:val="0039486D"/>
    <w:rsid w:val="00395B1C"/>
    <w:rsid w:val="00395CC7"/>
    <w:rsid w:val="0039749D"/>
    <w:rsid w:val="003A24B7"/>
    <w:rsid w:val="003A2ACD"/>
    <w:rsid w:val="003A3285"/>
    <w:rsid w:val="003A3ABD"/>
    <w:rsid w:val="003A63C1"/>
    <w:rsid w:val="003A6544"/>
    <w:rsid w:val="003A6A5B"/>
    <w:rsid w:val="003A6BB0"/>
    <w:rsid w:val="003B013B"/>
    <w:rsid w:val="003B094B"/>
    <w:rsid w:val="003B0CA8"/>
    <w:rsid w:val="003B0F20"/>
    <w:rsid w:val="003B46B5"/>
    <w:rsid w:val="003B490C"/>
    <w:rsid w:val="003B50CC"/>
    <w:rsid w:val="003B5A96"/>
    <w:rsid w:val="003B5D7C"/>
    <w:rsid w:val="003B6D07"/>
    <w:rsid w:val="003B716C"/>
    <w:rsid w:val="003B7A3C"/>
    <w:rsid w:val="003C1250"/>
    <w:rsid w:val="003C19EE"/>
    <w:rsid w:val="003C1CC7"/>
    <w:rsid w:val="003C2370"/>
    <w:rsid w:val="003C2386"/>
    <w:rsid w:val="003C3091"/>
    <w:rsid w:val="003C33CD"/>
    <w:rsid w:val="003C3411"/>
    <w:rsid w:val="003C49E9"/>
    <w:rsid w:val="003C4BF1"/>
    <w:rsid w:val="003C51F7"/>
    <w:rsid w:val="003C5BC8"/>
    <w:rsid w:val="003C618E"/>
    <w:rsid w:val="003C6882"/>
    <w:rsid w:val="003C6B3D"/>
    <w:rsid w:val="003C6D58"/>
    <w:rsid w:val="003C6DBC"/>
    <w:rsid w:val="003D096B"/>
    <w:rsid w:val="003D2355"/>
    <w:rsid w:val="003D3C0D"/>
    <w:rsid w:val="003D42F3"/>
    <w:rsid w:val="003D4421"/>
    <w:rsid w:val="003D45BE"/>
    <w:rsid w:val="003D4723"/>
    <w:rsid w:val="003D5899"/>
    <w:rsid w:val="003D5B5A"/>
    <w:rsid w:val="003D5E0A"/>
    <w:rsid w:val="003D6DFC"/>
    <w:rsid w:val="003D751B"/>
    <w:rsid w:val="003D762C"/>
    <w:rsid w:val="003E16D5"/>
    <w:rsid w:val="003E16DF"/>
    <w:rsid w:val="003E1DF6"/>
    <w:rsid w:val="003E244A"/>
    <w:rsid w:val="003E28E0"/>
    <w:rsid w:val="003E2D44"/>
    <w:rsid w:val="003E3609"/>
    <w:rsid w:val="003E36E8"/>
    <w:rsid w:val="003E4211"/>
    <w:rsid w:val="003E4F08"/>
    <w:rsid w:val="003E6306"/>
    <w:rsid w:val="003E7C89"/>
    <w:rsid w:val="003F16FF"/>
    <w:rsid w:val="003F24EA"/>
    <w:rsid w:val="003F2AAA"/>
    <w:rsid w:val="003F421C"/>
    <w:rsid w:val="003F4ABC"/>
    <w:rsid w:val="003F4F8A"/>
    <w:rsid w:val="003F61D7"/>
    <w:rsid w:val="003F62BD"/>
    <w:rsid w:val="00400FBC"/>
    <w:rsid w:val="004012B4"/>
    <w:rsid w:val="00401401"/>
    <w:rsid w:val="00403ADB"/>
    <w:rsid w:val="00404497"/>
    <w:rsid w:val="004044AE"/>
    <w:rsid w:val="004054DA"/>
    <w:rsid w:val="00405633"/>
    <w:rsid w:val="00406710"/>
    <w:rsid w:val="00410439"/>
    <w:rsid w:val="00410661"/>
    <w:rsid w:val="00411FE8"/>
    <w:rsid w:val="00412025"/>
    <w:rsid w:val="00412A55"/>
    <w:rsid w:val="00412DEF"/>
    <w:rsid w:val="00413A74"/>
    <w:rsid w:val="00413BDD"/>
    <w:rsid w:val="00414356"/>
    <w:rsid w:val="0041485B"/>
    <w:rsid w:val="00415AE6"/>
    <w:rsid w:val="00415C91"/>
    <w:rsid w:val="004165A8"/>
    <w:rsid w:val="00416A33"/>
    <w:rsid w:val="004173D7"/>
    <w:rsid w:val="004175EC"/>
    <w:rsid w:val="00417CFB"/>
    <w:rsid w:val="0042063E"/>
    <w:rsid w:val="00421949"/>
    <w:rsid w:val="00422936"/>
    <w:rsid w:val="004237DF"/>
    <w:rsid w:val="00425AD3"/>
    <w:rsid w:val="00425DF9"/>
    <w:rsid w:val="00425F67"/>
    <w:rsid w:val="0043100E"/>
    <w:rsid w:val="00431227"/>
    <w:rsid w:val="004313FE"/>
    <w:rsid w:val="00431ED3"/>
    <w:rsid w:val="0043321B"/>
    <w:rsid w:val="00433997"/>
    <w:rsid w:val="00434180"/>
    <w:rsid w:val="004353C2"/>
    <w:rsid w:val="00435B28"/>
    <w:rsid w:val="00435FD0"/>
    <w:rsid w:val="0043646D"/>
    <w:rsid w:val="0043713B"/>
    <w:rsid w:val="00440727"/>
    <w:rsid w:val="0044086D"/>
    <w:rsid w:val="004408DA"/>
    <w:rsid w:val="00441152"/>
    <w:rsid w:val="00441625"/>
    <w:rsid w:val="00441E4D"/>
    <w:rsid w:val="00442B22"/>
    <w:rsid w:val="00443254"/>
    <w:rsid w:val="004435E6"/>
    <w:rsid w:val="004454E3"/>
    <w:rsid w:val="00445D81"/>
    <w:rsid w:val="00446807"/>
    <w:rsid w:val="0044728F"/>
    <w:rsid w:val="00447493"/>
    <w:rsid w:val="00450E24"/>
    <w:rsid w:val="00451A48"/>
    <w:rsid w:val="00451BE7"/>
    <w:rsid w:val="004529F1"/>
    <w:rsid w:val="00452FFA"/>
    <w:rsid w:val="004542D7"/>
    <w:rsid w:val="004545FC"/>
    <w:rsid w:val="00454EF3"/>
    <w:rsid w:val="004551E1"/>
    <w:rsid w:val="00456956"/>
    <w:rsid w:val="00456CC4"/>
    <w:rsid w:val="00457816"/>
    <w:rsid w:val="004579EB"/>
    <w:rsid w:val="00457CD0"/>
    <w:rsid w:val="0046032B"/>
    <w:rsid w:val="00461079"/>
    <w:rsid w:val="00461EA5"/>
    <w:rsid w:val="0046372A"/>
    <w:rsid w:val="004639FD"/>
    <w:rsid w:val="0046439A"/>
    <w:rsid w:val="0046456D"/>
    <w:rsid w:val="0046468E"/>
    <w:rsid w:val="00467063"/>
    <w:rsid w:val="0046721B"/>
    <w:rsid w:val="00467ACB"/>
    <w:rsid w:val="0047076A"/>
    <w:rsid w:val="004708D2"/>
    <w:rsid w:val="004714A5"/>
    <w:rsid w:val="004718C4"/>
    <w:rsid w:val="00471E1E"/>
    <w:rsid w:val="004733F5"/>
    <w:rsid w:val="0047397C"/>
    <w:rsid w:val="00473B05"/>
    <w:rsid w:val="004740BC"/>
    <w:rsid w:val="004765B7"/>
    <w:rsid w:val="004766EF"/>
    <w:rsid w:val="00476EE6"/>
    <w:rsid w:val="004775C5"/>
    <w:rsid w:val="00480AB0"/>
    <w:rsid w:val="0048199A"/>
    <w:rsid w:val="00481ACE"/>
    <w:rsid w:val="00482040"/>
    <w:rsid w:val="004821ED"/>
    <w:rsid w:val="0048269A"/>
    <w:rsid w:val="00482AA5"/>
    <w:rsid w:val="00482DF3"/>
    <w:rsid w:val="00483001"/>
    <w:rsid w:val="00484772"/>
    <w:rsid w:val="00484F76"/>
    <w:rsid w:val="0048542B"/>
    <w:rsid w:val="00486037"/>
    <w:rsid w:val="00486D02"/>
    <w:rsid w:val="00487FC6"/>
    <w:rsid w:val="004906DA"/>
    <w:rsid w:val="00492795"/>
    <w:rsid w:val="004935E7"/>
    <w:rsid w:val="00493825"/>
    <w:rsid w:val="0049405C"/>
    <w:rsid w:val="00494DC1"/>
    <w:rsid w:val="00494F02"/>
    <w:rsid w:val="00495E86"/>
    <w:rsid w:val="004960EB"/>
    <w:rsid w:val="00496706"/>
    <w:rsid w:val="00496D89"/>
    <w:rsid w:val="00496E24"/>
    <w:rsid w:val="0049736A"/>
    <w:rsid w:val="004975BA"/>
    <w:rsid w:val="00497BCF"/>
    <w:rsid w:val="00497EAA"/>
    <w:rsid w:val="004A01FD"/>
    <w:rsid w:val="004A076E"/>
    <w:rsid w:val="004A099E"/>
    <w:rsid w:val="004A0ABE"/>
    <w:rsid w:val="004A1C19"/>
    <w:rsid w:val="004A3053"/>
    <w:rsid w:val="004A399D"/>
    <w:rsid w:val="004A41FD"/>
    <w:rsid w:val="004A5292"/>
    <w:rsid w:val="004A53DE"/>
    <w:rsid w:val="004A58FA"/>
    <w:rsid w:val="004A5BED"/>
    <w:rsid w:val="004A5C92"/>
    <w:rsid w:val="004A60D5"/>
    <w:rsid w:val="004A63C1"/>
    <w:rsid w:val="004A743F"/>
    <w:rsid w:val="004B0CFB"/>
    <w:rsid w:val="004B129C"/>
    <w:rsid w:val="004B218A"/>
    <w:rsid w:val="004B2A46"/>
    <w:rsid w:val="004B302F"/>
    <w:rsid w:val="004B30A0"/>
    <w:rsid w:val="004B3AFF"/>
    <w:rsid w:val="004B4BCF"/>
    <w:rsid w:val="004B56F6"/>
    <w:rsid w:val="004B6D17"/>
    <w:rsid w:val="004B6DEB"/>
    <w:rsid w:val="004C02C8"/>
    <w:rsid w:val="004C0594"/>
    <w:rsid w:val="004C0876"/>
    <w:rsid w:val="004C0C4F"/>
    <w:rsid w:val="004C196F"/>
    <w:rsid w:val="004C32A0"/>
    <w:rsid w:val="004C5D8C"/>
    <w:rsid w:val="004C5DC2"/>
    <w:rsid w:val="004C6343"/>
    <w:rsid w:val="004C6B90"/>
    <w:rsid w:val="004C77C3"/>
    <w:rsid w:val="004D0006"/>
    <w:rsid w:val="004D0E91"/>
    <w:rsid w:val="004D154D"/>
    <w:rsid w:val="004D29B1"/>
    <w:rsid w:val="004D3008"/>
    <w:rsid w:val="004D46A0"/>
    <w:rsid w:val="004D47F5"/>
    <w:rsid w:val="004D4C98"/>
    <w:rsid w:val="004D5757"/>
    <w:rsid w:val="004D5A64"/>
    <w:rsid w:val="004D5BA1"/>
    <w:rsid w:val="004D63B0"/>
    <w:rsid w:val="004D679B"/>
    <w:rsid w:val="004D73FA"/>
    <w:rsid w:val="004D7405"/>
    <w:rsid w:val="004D781B"/>
    <w:rsid w:val="004D79B8"/>
    <w:rsid w:val="004D79BA"/>
    <w:rsid w:val="004D7BA0"/>
    <w:rsid w:val="004E051B"/>
    <w:rsid w:val="004E1646"/>
    <w:rsid w:val="004E2425"/>
    <w:rsid w:val="004E2622"/>
    <w:rsid w:val="004E27C0"/>
    <w:rsid w:val="004E30F6"/>
    <w:rsid w:val="004E3829"/>
    <w:rsid w:val="004E3CA1"/>
    <w:rsid w:val="004E3DAD"/>
    <w:rsid w:val="004E451C"/>
    <w:rsid w:val="004E5B91"/>
    <w:rsid w:val="004E5CE0"/>
    <w:rsid w:val="004E6670"/>
    <w:rsid w:val="004E7AD3"/>
    <w:rsid w:val="004F01A8"/>
    <w:rsid w:val="004F0366"/>
    <w:rsid w:val="004F1245"/>
    <w:rsid w:val="004F1908"/>
    <w:rsid w:val="004F1FBD"/>
    <w:rsid w:val="004F1FFB"/>
    <w:rsid w:val="004F244C"/>
    <w:rsid w:val="004F25B8"/>
    <w:rsid w:val="004F55F4"/>
    <w:rsid w:val="004F631F"/>
    <w:rsid w:val="004F72EF"/>
    <w:rsid w:val="0050054D"/>
    <w:rsid w:val="0050119B"/>
    <w:rsid w:val="005011F7"/>
    <w:rsid w:val="0050383B"/>
    <w:rsid w:val="00504709"/>
    <w:rsid w:val="00504C94"/>
    <w:rsid w:val="00505599"/>
    <w:rsid w:val="0050626E"/>
    <w:rsid w:val="00506895"/>
    <w:rsid w:val="00506AEC"/>
    <w:rsid w:val="00506DD6"/>
    <w:rsid w:val="00506EF0"/>
    <w:rsid w:val="005071E5"/>
    <w:rsid w:val="0050774D"/>
    <w:rsid w:val="00507F81"/>
    <w:rsid w:val="00510319"/>
    <w:rsid w:val="0051083E"/>
    <w:rsid w:val="00511213"/>
    <w:rsid w:val="00511AD6"/>
    <w:rsid w:val="00511DEF"/>
    <w:rsid w:val="0051277E"/>
    <w:rsid w:val="00512853"/>
    <w:rsid w:val="0051393A"/>
    <w:rsid w:val="00515290"/>
    <w:rsid w:val="0051534F"/>
    <w:rsid w:val="005153BD"/>
    <w:rsid w:val="005161A7"/>
    <w:rsid w:val="00521D91"/>
    <w:rsid w:val="005227D6"/>
    <w:rsid w:val="005229AE"/>
    <w:rsid w:val="00522B71"/>
    <w:rsid w:val="00523588"/>
    <w:rsid w:val="00524EFD"/>
    <w:rsid w:val="00524F8F"/>
    <w:rsid w:val="005255F1"/>
    <w:rsid w:val="00525DD3"/>
    <w:rsid w:val="005310E9"/>
    <w:rsid w:val="00531779"/>
    <w:rsid w:val="0053186A"/>
    <w:rsid w:val="0053237D"/>
    <w:rsid w:val="00534372"/>
    <w:rsid w:val="00536896"/>
    <w:rsid w:val="00536F07"/>
    <w:rsid w:val="00537408"/>
    <w:rsid w:val="005374AF"/>
    <w:rsid w:val="00537598"/>
    <w:rsid w:val="005376E0"/>
    <w:rsid w:val="00537987"/>
    <w:rsid w:val="00537CB3"/>
    <w:rsid w:val="0054017C"/>
    <w:rsid w:val="00540373"/>
    <w:rsid w:val="005412B3"/>
    <w:rsid w:val="005413B9"/>
    <w:rsid w:val="00541FBF"/>
    <w:rsid w:val="00542D2B"/>
    <w:rsid w:val="005430A0"/>
    <w:rsid w:val="00543DA5"/>
    <w:rsid w:val="00543F0E"/>
    <w:rsid w:val="005445D0"/>
    <w:rsid w:val="0054509F"/>
    <w:rsid w:val="005456A2"/>
    <w:rsid w:val="00547276"/>
    <w:rsid w:val="00547799"/>
    <w:rsid w:val="005507F5"/>
    <w:rsid w:val="00552649"/>
    <w:rsid w:val="00554FB8"/>
    <w:rsid w:val="005568C3"/>
    <w:rsid w:val="00556F21"/>
    <w:rsid w:val="00557F2A"/>
    <w:rsid w:val="00560222"/>
    <w:rsid w:val="005609BC"/>
    <w:rsid w:val="0056271A"/>
    <w:rsid w:val="00562CB5"/>
    <w:rsid w:val="005635B1"/>
    <w:rsid w:val="00563619"/>
    <w:rsid w:val="00564815"/>
    <w:rsid w:val="00564A22"/>
    <w:rsid w:val="00564C75"/>
    <w:rsid w:val="00565E04"/>
    <w:rsid w:val="00566099"/>
    <w:rsid w:val="00566C17"/>
    <w:rsid w:val="0056708C"/>
    <w:rsid w:val="00567102"/>
    <w:rsid w:val="00567BD4"/>
    <w:rsid w:val="00567D51"/>
    <w:rsid w:val="005702A4"/>
    <w:rsid w:val="00571241"/>
    <w:rsid w:val="00571763"/>
    <w:rsid w:val="00571DD0"/>
    <w:rsid w:val="00573450"/>
    <w:rsid w:val="005734BC"/>
    <w:rsid w:val="005737F0"/>
    <w:rsid w:val="00573811"/>
    <w:rsid w:val="00573CAE"/>
    <w:rsid w:val="00574C5F"/>
    <w:rsid w:val="00576E2B"/>
    <w:rsid w:val="00577495"/>
    <w:rsid w:val="0058112F"/>
    <w:rsid w:val="00581CC8"/>
    <w:rsid w:val="005828AA"/>
    <w:rsid w:val="00585328"/>
    <w:rsid w:val="0058591E"/>
    <w:rsid w:val="00586368"/>
    <w:rsid w:val="0058638A"/>
    <w:rsid w:val="005867BB"/>
    <w:rsid w:val="0058740A"/>
    <w:rsid w:val="00587CCF"/>
    <w:rsid w:val="00587D12"/>
    <w:rsid w:val="00590738"/>
    <w:rsid w:val="00591629"/>
    <w:rsid w:val="005927AA"/>
    <w:rsid w:val="00592C4D"/>
    <w:rsid w:val="00593835"/>
    <w:rsid w:val="00595684"/>
    <w:rsid w:val="00595F01"/>
    <w:rsid w:val="00595F31"/>
    <w:rsid w:val="00596A56"/>
    <w:rsid w:val="00597F6D"/>
    <w:rsid w:val="005A2C45"/>
    <w:rsid w:val="005A37B9"/>
    <w:rsid w:val="005A42FA"/>
    <w:rsid w:val="005A48B6"/>
    <w:rsid w:val="005B09EC"/>
    <w:rsid w:val="005B1492"/>
    <w:rsid w:val="005B22BB"/>
    <w:rsid w:val="005B24B7"/>
    <w:rsid w:val="005B2502"/>
    <w:rsid w:val="005B28D8"/>
    <w:rsid w:val="005B4D3C"/>
    <w:rsid w:val="005B565F"/>
    <w:rsid w:val="005B64A0"/>
    <w:rsid w:val="005B6B51"/>
    <w:rsid w:val="005B757A"/>
    <w:rsid w:val="005B75C4"/>
    <w:rsid w:val="005C08AA"/>
    <w:rsid w:val="005C109B"/>
    <w:rsid w:val="005C1364"/>
    <w:rsid w:val="005C15CA"/>
    <w:rsid w:val="005C18AF"/>
    <w:rsid w:val="005C19D3"/>
    <w:rsid w:val="005C2ABD"/>
    <w:rsid w:val="005C2D6D"/>
    <w:rsid w:val="005C36A7"/>
    <w:rsid w:val="005C3D54"/>
    <w:rsid w:val="005C51B1"/>
    <w:rsid w:val="005C5A8E"/>
    <w:rsid w:val="005C5C10"/>
    <w:rsid w:val="005C7078"/>
    <w:rsid w:val="005C79A9"/>
    <w:rsid w:val="005D0330"/>
    <w:rsid w:val="005D0785"/>
    <w:rsid w:val="005D0C34"/>
    <w:rsid w:val="005D128C"/>
    <w:rsid w:val="005D1929"/>
    <w:rsid w:val="005D1D0B"/>
    <w:rsid w:val="005D1D72"/>
    <w:rsid w:val="005D1DA6"/>
    <w:rsid w:val="005D24F4"/>
    <w:rsid w:val="005D2B32"/>
    <w:rsid w:val="005D4600"/>
    <w:rsid w:val="005D5F64"/>
    <w:rsid w:val="005D74B9"/>
    <w:rsid w:val="005E03E4"/>
    <w:rsid w:val="005E0418"/>
    <w:rsid w:val="005E095B"/>
    <w:rsid w:val="005E110C"/>
    <w:rsid w:val="005E1405"/>
    <w:rsid w:val="005E1C48"/>
    <w:rsid w:val="005E2941"/>
    <w:rsid w:val="005E32AC"/>
    <w:rsid w:val="005E3D3C"/>
    <w:rsid w:val="005E4075"/>
    <w:rsid w:val="005E453A"/>
    <w:rsid w:val="005E45DD"/>
    <w:rsid w:val="005E5A35"/>
    <w:rsid w:val="005E6192"/>
    <w:rsid w:val="005E6EFB"/>
    <w:rsid w:val="005F01FB"/>
    <w:rsid w:val="005F1C87"/>
    <w:rsid w:val="005F1E32"/>
    <w:rsid w:val="005F23BA"/>
    <w:rsid w:val="005F2522"/>
    <w:rsid w:val="005F2C26"/>
    <w:rsid w:val="005F3DEF"/>
    <w:rsid w:val="005F5172"/>
    <w:rsid w:val="005F5E67"/>
    <w:rsid w:val="005F6A82"/>
    <w:rsid w:val="005F6ECF"/>
    <w:rsid w:val="005F7BA5"/>
    <w:rsid w:val="00602B9E"/>
    <w:rsid w:val="006030F7"/>
    <w:rsid w:val="00603221"/>
    <w:rsid w:val="00603F19"/>
    <w:rsid w:val="00604B7B"/>
    <w:rsid w:val="00604F01"/>
    <w:rsid w:val="00605514"/>
    <w:rsid w:val="006063BE"/>
    <w:rsid w:val="0060721F"/>
    <w:rsid w:val="00607778"/>
    <w:rsid w:val="00607C0B"/>
    <w:rsid w:val="0061070C"/>
    <w:rsid w:val="00611625"/>
    <w:rsid w:val="00612C2B"/>
    <w:rsid w:val="00613121"/>
    <w:rsid w:val="00613865"/>
    <w:rsid w:val="00613908"/>
    <w:rsid w:val="00613C59"/>
    <w:rsid w:val="0061473F"/>
    <w:rsid w:val="00615C76"/>
    <w:rsid w:val="00615D1D"/>
    <w:rsid w:val="00616091"/>
    <w:rsid w:val="00616176"/>
    <w:rsid w:val="00616CB9"/>
    <w:rsid w:val="0061740F"/>
    <w:rsid w:val="0061745F"/>
    <w:rsid w:val="00617720"/>
    <w:rsid w:val="00617B22"/>
    <w:rsid w:val="00620461"/>
    <w:rsid w:val="00620B38"/>
    <w:rsid w:val="00620C5E"/>
    <w:rsid w:val="006222F2"/>
    <w:rsid w:val="00622DB0"/>
    <w:rsid w:val="006242D6"/>
    <w:rsid w:val="00624BCB"/>
    <w:rsid w:val="0062532F"/>
    <w:rsid w:val="006254CA"/>
    <w:rsid w:val="00625660"/>
    <w:rsid w:val="00626E56"/>
    <w:rsid w:val="006303CF"/>
    <w:rsid w:val="0063086F"/>
    <w:rsid w:val="00630E10"/>
    <w:rsid w:val="00631EB4"/>
    <w:rsid w:val="00632AB4"/>
    <w:rsid w:val="00632EA8"/>
    <w:rsid w:val="006335C8"/>
    <w:rsid w:val="00633988"/>
    <w:rsid w:val="00634441"/>
    <w:rsid w:val="00634FE4"/>
    <w:rsid w:val="006355C2"/>
    <w:rsid w:val="006369F6"/>
    <w:rsid w:val="00636D36"/>
    <w:rsid w:val="006376E3"/>
    <w:rsid w:val="00637CC9"/>
    <w:rsid w:val="0064073B"/>
    <w:rsid w:val="00640906"/>
    <w:rsid w:val="00640CD1"/>
    <w:rsid w:val="00641031"/>
    <w:rsid w:val="006414C0"/>
    <w:rsid w:val="00641541"/>
    <w:rsid w:val="006421A1"/>
    <w:rsid w:val="0064243C"/>
    <w:rsid w:val="00642892"/>
    <w:rsid w:val="00643311"/>
    <w:rsid w:val="00643554"/>
    <w:rsid w:val="0064367F"/>
    <w:rsid w:val="0065057D"/>
    <w:rsid w:val="00650B2F"/>
    <w:rsid w:val="006513CE"/>
    <w:rsid w:val="0065255A"/>
    <w:rsid w:val="00652686"/>
    <w:rsid w:val="00652B72"/>
    <w:rsid w:val="006532FB"/>
    <w:rsid w:val="00654B38"/>
    <w:rsid w:val="00655088"/>
    <w:rsid w:val="006558B6"/>
    <w:rsid w:val="00655D85"/>
    <w:rsid w:val="00656A54"/>
    <w:rsid w:val="00657A7E"/>
    <w:rsid w:val="006600E0"/>
    <w:rsid w:val="00660764"/>
    <w:rsid w:val="00660FF7"/>
    <w:rsid w:val="006614ED"/>
    <w:rsid w:val="00662824"/>
    <w:rsid w:val="0066350C"/>
    <w:rsid w:val="0066424F"/>
    <w:rsid w:val="0066507F"/>
    <w:rsid w:val="0066511D"/>
    <w:rsid w:val="006652F1"/>
    <w:rsid w:val="0066578C"/>
    <w:rsid w:val="00665E79"/>
    <w:rsid w:val="006662BC"/>
    <w:rsid w:val="00666918"/>
    <w:rsid w:val="00670763"/>
    <w:rsid w:val="00671213"/>
    <w:rsid w:val="0067353B"/>
    <w:rsid w:val="00675F9A"/>
    <w:rsid w:val="00675FBC"/>
    <w:rsid w:val="006767C0"/>
    <w:rsid w:val="006769BA"/>
    <w:rsid w:val="00677CE6"/>
    <w:rsid w:val="00677F99"/>
    <w:rsid w:val="006807AF"/>
    <w:rsid w:val="00682DB6"/>
    <w:rsid w:val="00682E38"/>
    <w:rsid w:val="006836AC"/>
    <w:rsid w:val="00683973"/>
    <w:rsid w:val="00683B08"/>
    <w:rsid w:val="00683C11"/>
    <w:rsid w:val="006840DF"/>
    <w:rsid w:val="0068462E"/>
    <w:rsid w:val="0068497D"/>
    <w:rsid w:val="006849B1"/>
    <w:rsid w:val="006849BE"/>
    <w:rsid w:val="00684A98"/>
    <w:rsid w:val="00684B45"/>
    <w:rsid w:val="00685110"/>
    <w:rsid w:val="00685657"/>
    <w:rsid w:val="0068585F"/>
    <w:rsid w:val="00686B42"/>
    <w:rsid w:val="006909AF"/>
    <w:rsid w:val="00691109"/>
    <w:rsid w:val="006913A8"/>
    <w:rsid w:val="00691682"/>
    <w:rsid w:val="00693061"/>
    <w:rsid w:val="00693ADB"/>
    <w:rsid w:val="00694237"/>
    <w:rsid w:val="0069470D"/>
    <w:rsid w:val="006956CF"/>
    <w:rsid w:val="00695C26"/>
    <w:rsid w:val="0069602D"/>
    <w:rsid w:val="006962CD"/>
    <w:rsid w:val="006965D6"/>
    <w:rsid w:val="006A0525"/>
    <w:rsid w:val="006A0F6C"/>
    <w:rsid w:val="006A1CED"/>
    <w:rsid w:val="006A238F"/>
    <w:rsid w:val="006A3BE8"/>
    <w:rsid w:val="006A436C"/>
    <w:rsid w:val="006A49A9"/>
    <w:rsid w:val="006A58B9"/>
    <w:rsid w:val="006A59D0"/>
    <w:rsid w:val="006A5CD5"/>
    <w:rsid w:val="006A6BE3"/>
    <w:rsid w:val="006A6D42"/>
    <w:rsid w:val="006A6DAE"/>
    <w:rsid w:val="006A77E4"/>
    <w:rsid w:val="006B064A"/>
    <w:rsid w:val="006B0811"/>
    <w:rsid w:val="006B11D0"/>
    <w:rsid w:val="006B178C"/>
    <w:rsid w:val="006B17BE"/>
    <w:rsid w:val="006B17FA"/>
    <w:rsid w:val="006B3030"/>
    <w:rsid w:val="006B534B"/>
    <w:rsid w:val="006B59B9"/>
    <w:rsid w:val="006B5AB8"/>
    <w:rsid w:val="006B5EA6"/>
    <w:rsid w:val="006B6071"/>
    <w:rsid w:val="006B6874"/>
    <w:rsid w:val="006B6D2D"/>
    <w:rsid w:val="006B74F8"/>
    <w:rsid w:val="006B7EFA"/>
    <w:rsid w:val="006C05A3"/>
    <w:rsid w:val="006C0B1E"/>
    <w:rsid w:val="006C0C1D"/>
    <w:rsid w:val="006C1014"/>
    <w:rsid w:val="006C1234"/>
    <w:rsid w:val="006C1F06"/>
    <w:rsid w:val="006C2B37"/>
    <w:rsid w:val="006C3BBC"/>
    <w:rsid w:val="006C414B"/>
    <w:rsid w:val="006C4B05"/>
    <w:rsid w:val="006C5AAC"/>
    <w:rsid w:val="006C61E1"/>
    <w:rsid w:val="006C6253"/>
    <w:rsid w:val="006C7458"/>
    <w:rsid w:val="006C7FF2"/>
    <w:rsid w:val="006D036A"/>
    <w:rsid w:val="006D0AA2"/>
    <w:rsid w:val="006D1235"/>
    <w:rsid w:val="006D286E"/>
    <w:rsid w:val="006D38FC"/>
    <w:rsid w:val="006D4E2E"/>
    <w:rsid w:val="006D5010"/>
    <w:rsid w:val="006D59DB"/>
    <w:rsid w:val="006D5A40"/>
    <w:rsid w:val="006D6AF2"/>
    <w:rsid w:val="006D7A24"/>
    <w:rsid w:val="006E00CB"/>
    <w:rsid w:val="006E0A00"/>
    <w:rsid w:val="006E155D"/>
    <w:rsid w:val="006E2109"/>
    <w:rsid w:val="006E2398"/>
    <w:rsid w:val="006E2B09"/>
    <w:rsid w:val="006E2E75"/>
    <w:rsid w:val="006E2EBF"/>
    <w:rsid w:val="006E3345"/>
    <w:rsid w:val="006E349A"/>
    <w:rsid w:val="006E4398"/>
    <w:rsid w:val="006E5DB6"/>
    <w:rsid w:val="006E5E53"/>
    <w:rsid w:val="006E704F"/>
    <w:rsid w:val="006E7606"/>
    <w:rsid w:val="006F074A"/>
    <w:rsid w:val="006F07B8"/>
    <w:rsid w:val="006F1651"/>
    <w:rsid w:val="006F177F"/>
    <w:rsid w:val="006F2AE4"/>
    <w:rsid w:val="006F2BF4"/>
    <w:rsid w:val="006F31C6"/>
    <w:rsid w:val="006F3E62"/>
    <w:rsid w:val="006F40D2"/>
    <w:rsid w:val="006F58A4"/>
    <w:rsid w:val="006F5DEA"/>
    <w:rsid w:val="006F7723"/>
    <w:rsid w:val="006F7C5A"/>
    <w:rsid w:val="007008D7"/>
    <w:rsid w:val="00700A68"/>
    <w:rsid w:val="00700BFD"/>
    <w:rsid w:val="007013C7"/>
    <w:rsid w:val="00701520"/>
    <w:rsid w:val="00701611"/>
    <w:rsid w:val="00703531"/>
    <w:rsid w:val="0070444A"/>
    <w:rsid w:val="0070462F"/>
    <w:rsid w:val="00705F08"/>
    <w:rsid w:val="00707937"/>
    <w:rsid w:val="00707BAD"/>
    <w:rsid w:val="007101FE"/>
    <w:rsid w:val="007113B5"/>
    <w:rsid w:val="00711D55"/>
    <w:rsid w:val="00712465"/>
    <w:rsid w:val="007124ED"/>
    <w:rsid w:val="0071357D"/>
    <w:rsid w:val="007147A2"/>
    <w:rsid w:val="00714B2B"/>
    <w:rsid w:val="00715625"/>
    <w:rsid w:val="00715C37"/>
    <w:rsid w:val="00715EE6"/>
    <w:rsid w:val="00716931"/>
    <w:rsid w:val="00716F9F"/>
    <w:rsid w:val="0071784F"/>
    <w:rsid w:val="007209EE"/>
    <w:rsid w:val="00721482"/>
    <w:rsid w:val="00722146"/>
    <w:rsid w:val="007227DC"/>
    <w:rsid w:val="00722E5F"/>
    <w:rsid w:val="00723100"/>
    <w:rsid w:val="00723FC1"/>
    <w:rsid w:val="00724108"/>
    <w:rsid w:val="00725A7C"/>
    <w:rsid w:val="007263B0"/>
    <w:rsid w:val="00726FA4"/>
    <w:rsid w:val="00727560"/>
    <w:rsid w:val="0072787E"/>
    <w:rsid w:val="00727DA5"/>
    <w:rsid w:val="00732C04"/>
    <w:rsid w:val="007334BA"/>
    <w:rsid w:val="00733E8D"/>
    <w:rsid w:val="0073530D"/>
    <w:rsid w:val="007360FA"/>
    <w:rsid w:val="0073631D"/>
    <w:rsid w:val="00736A1E"/>
    <w:rsid w:val="0073726D"/>
    <w:rsid w:val="00737B94"/>
    <w:rsid w:val="007403F0"/>
    <w:rsid w:val="00740F66"/>
    <w:rsid w:val="00743E83"/>
    <w:rsid w:val="00743F71"/>
    <w:rsid w:val="007460A7"/>
    <w:rsid w:val="007463B1"/>
    <w:rsid w:val="00746577"/>
    <w:rsid w:val="0074712D"/>
    <w:rsid w:val="00747FAC"/>
    <w:rsid w:val="0075000A"/>
    <w:rsid w:val="00750590"/>
    <w:rsid w:val="00750F13"/>
    <w:rsid w:val="007516A1"/>
    <w:rsid w:val="00751D97"/>
    <w:rsid w:val="007527B8"/>
    <w:rsid w:val="00752E2F"/>
    <w:rsid w:val="00754F22"/>
    <w:rsid w:val="0075506A"/>
    <w:rsid w:val="00755D9C"/>
    <w:rsid w:val="00756C3F"/>
    <w:rsid w:val="00760932"/>
    <w:rsid w:val="00760BA5"/>
    <w:rsid w:val="00760BFF"/>
    <w:rsid w:val="007610D3"/>
    <w:rsid w:val="00761851"/>
    <w:rsid w:val="00761D3E"/>
    <w:rsid w:val="0076259A"/>
    <w:rsid w:val="007635AF"/>
    <w:rsid w:val="00763F08"/>
    <w:rsid w:val="00763FC8"/>
    <w:rsid w:val="00764D1E"/>
    <w:rsid w:val="00764FC4"/>
    <w:rsid w:val="007663CD"/>
    <w:rsid w:val="007671B6"/>
    <w:rsid w:val="00767856"/>
    <w:rsid w:val="00767A16"/>
    <w:rsid w:val="007703A2"/>
    <w:rsid w:val="00770B37"/>
    <w:rsid w:val="00771EB2"/>
    <w:rsid w:val="00771F8A"/>
    <w:rsid w:val="00772285"/>
    <w:rsid w:val="00772497"/>
    <w:rsid w:val="0077375A"/>
    <w:rsid w:val="0077443F"/>
    <w:rsid w:val="00775F65"/>
    <w:rsid w:val="0077627F"/>
    <w:rsid w:val="00776561"/>
    <w:rsid w:val="007767DD"/>
    <w:rsid w:val="00776A8E"/>
    <w:rsid w:val="00776C8D"/>
    <w:rsid w:val="00776E7B"/>
    <w:rsid w:val="00777F90"/>
    <w:rsid w:val="00780342"/>
    <w:rsid w:val="00781312"/>
    <w:rsid w:val="00781D47"/>
    <w:rsid w:val="00782CBA"/>
    <w:rsid w:val="00782F15"/>
    <w:rsid w:val="00783372"/>
    <w:rsid w:val="00783440"/>
    <w:rsid w:val="007834A7"/>
    <w:rsid w:val="00783D4F"/>
    <w:rsid w:val="00784FE9"/>
    <w:rsid w:val="00784FF8"/>
    <w:rsid w:val="007854EA"/>
    <w:rsid w:val="0078690B"/>
    <w:rsid w:val="00786CEA"/>
    <w:rsid w:val="007875EF"/>
    <w:rsid w:val="00790566"/>
    <w:rsid w:val="00790FE0"/>
    <w:rsid w:val="0079224C"/>
    <w:rsid w:val="00792769"/>
    <w:rsid w:val="00792BB0"/>
    <w:rsid w:val="00792DA4"/>
    <w:rsid w:val="00793771"/>
    <w:rsid w:val="00794143"/>
    <w:rsid w:val="007943A7"/>
    <w:rsid w:val="00795415"/>
    <w:rsid w:val="00795437"/>
    <w:rsid w:val="00795784"/>
    <w:rsid w:val="00795EB0"/>
    <w:rsid w:val="00796527"/>
    <w:rsid w:val="007971DB"/>
    <w:rsid w:val="007A0085"/>
    <w:rsid w:val="007A02C8"/>
    <w:rsid w:val="007A0EC6"/>
    <w:rsid w:val="007A22EF"/>
    <w:rsid w:val="007A269E"/>
    <w:rsid w:val="007A57C1"/>
    <w:rsid w:val="007A586B"/>
    <w:rsid w:val="007A61D5"/>
    <w:rsid w:val="007A6753"/>
    <w:rsid w:val="007A75DA"/>
    <w:rsid w:val="007B113A"/>
    <w:rsid w:val="007B1788"/>
    <w:rsid w:val="007B290C"/>
    <w:rsid w:val="007B2E80"/>
    <w:rsid w:val="007B4BFC"/>
    <w:rsid w:val="007B4D94"/>
    <w:rsid w:val="007B52FA"/>
    <w:rsid w:val="007B638F"/>
    <w:rsid w:val="007B70F2"/>
    <w:rsid w:val="007C177C"/>
    <w:rsid w:val="007C194F"/>
    <w:rsid w:val="007C32EE"/>
    <w:rsid w:val="007C3AF6"/>
    <w:rsid w:val="007C4523"/>
    <w:rsid w:val="007C481E"/>
    <w:rsid w:val="007C4C5D"/>
    <w:rsid w:val="007C5437"/>
    <w:rsid w:val="007C5611"/>
    <w:rsid w:val="007C5EF2"/>
    <w:rsid w:val="007C7B59"/>
    <w:rsid w:val="007D076E"/>
    <w:rsid w:val="007D09B9"/>
    <w:rsid w:val="007D14A7"/>
    <w:rsid w:val="007D24CC"/>
    <w:rsid w:val="007D3113"/>
    <w:rsid w:val="007D377C"/>
    <w:rsid w:val="007D4FEC"/>
    <w:rsid w:val="007D5955"/>
    <w:rsid w:val="007D5BD0"/>
    <w:rsid w:val="007D6363"/>
    <w:rsid w:val="007D7598"/>
    <w:rsid w:val="007E0452"/>
    <w:rsid w:val="007E06A5"/>
    <w:rsid w:val="007E20F5"/>
    <w:rsid w:val="007E2AEB"/>
    <w:rsid w:val="007E48D4"/>
    <w:rsid w:val="007E4D08"/>
    <w:rsid w:val="007E4F37"/>
    <w:rsid w:val="007E5281"/>
    <w:rsid w:val="007E624D"/>
    <w:rsid w:val="007E67F6"/>
    <w:rsid w:val="007E7068"/>
    <w:rsid w:val="007E773D"/>
    <w:rsid w:val="007E77FF"/>
    <w:rsid w:val="007F0BD8"/>
    <w:rsid w:val="007F1EA2"/>
    <w:rsid w:val="007F2EB8"/>
    <w:rsid w:val="007F372E"/>
    <w:rsid w:val="007F3855"/>
    <w:rsid w:val="007F4499"/>
    <w:rsid w:val="007F45D9"/>
    <w:rsid w:val="007F4857"/>
    <w:rsid w:val="007F4F48"/>
    <w:rsid w:val="007F50B7"/>
    <w:rsid w:val="007F5E22"/>
    <w:rsid w:val="007F77C4"/>
    <w:rsid w:val="008002FA"/>
    <w:rsid w:val="00800504"/>
    <w:rsid w:val="00800695"/>
    <w:rsid w:val="008020BC"/>
    <w:rsid w:val="00802EE1"/>
    <w:rsid w:val="008047D8"/>
    <w:rsid w:val="008052CC"/>
    <w:rsid w:val="00805452"/>
    <w:rsid w:val="00806438"/>
    <w:rsid w:val="008068E8"/>
    <w:rsid w:val="008074FF"/>
    <w:rsid w:val="0081148B"/>
    <w:rsid w:val="00812DF0"/>
    <w:rsid w:val="00813076"/>
    <w:rsid w:val="0081415B"/>
    <w:rsid w:val="00814AB2"/>
    <w:rsid w:val="008153AA"/>
    <w:rsid w:val="00817799"/>
    <w:rsid w:val="008178EA"/>
    <w:rsid w:val="00820FD4"/>
    <w:rsid w:val="008214CC"/>
    <w:rsid w:val="00821A29"/>
    <w:rsid w:val="00821C46"/>
    <w:rsid w:val="00821E6F"/>
    <w:rsid w:val="008226B7"/>
    <w:rsid w:val="008230AD"/>
    <w:rsid w:val="00823183"/>
    <w:rsid w:val="008236ED"/>
    <w:rsid w:val="008237C6"/>
    <w:rsid w:val="00824FDA"/>
    <w:rsid w:val="00825B2A"/>
    <w:rsid w:val="00827247"/>
    <w:rsid w:val="0082751C"/>
    <w:rsid w:val="0082758A"/>
    <w:rsid w:val="008277E4"/>
    <w:rsid w:val="0083011C"/>
    <w:rsid w:val="00830DA5"/>
    <w:rsid w:val="00830DB4"/>
    <w:rsid w:val="00831538"/>
    <w:rsid w:val="00832063"/>
    <w:rsid w:val="00832747"/>
    <w:rsid w:val="00832AC2"/>
    <w:rsid w:val="00832E8D"/>
    <w:rsid w:val="00834033"/>
    <w:rsid w:val="00834451"/>
    <w:rsid w:val="00834631"/>
    <w:rsid w:val="00835E22"/>
    <w:rsid w:val="00836783"/>
    <w:rsid w:val="00837B12"/>
    <w:rsid w:val="00837C8C"/>
    <w:rsid w:val="00840988"/>
    <w:rsid w:val="00840C47"/>
    <w:rsid w:val="00840E2F"/>
    <w:rsid w:val="008424EA"/>
    <w:rsid w:val="00842B61"/>
    <w:rsid w:val="008433F5"/>
    <w:rsid w:val="00843D3D"/>
    <w:rsid w:val="00844C55"/>
    <w:rsid w:val="008451A3"/>
    <w:rsid w:val="008451A7"/>
    <w:rsid w:val="0084550A"/>
    <w:rsid w:val="00845632"/>
    <w:rsid w:val="008466F0"/>
    <w:rsid w:val="00847223"/>
    <w:rsid w:val="00847F79"/>
    <w:rsid w:val="008504D5"/>
    <w:rsid w:val="00850A57"/>
    <w:rsid w:val="00851BB3"/>
    <w:rsid w:val="00851D05"/>
    <w:rsid w:val="0085283E"/>
    <w:rsid w:val="00852B1F"/>
    <w:rsid w:val="00853A0B"/>
    <w:rsid w:val="0085538D"/>
    <w:rsid w:val="00856596"/>
    <w:rsid w:val="00856CE7"/>
    <w:rsid w:val="00857029"/>
    <w:rsid w:val="00857749"/>
    <w:rsid w:val="00857C32"/>
    <w:rsid w:val="00857E62"/>
    <w:rsid w:val="00857FA4"/>
    <w:rsid w:val="00860561"/>
    <w:rsid w:val="00860B74"/>
    <w:rsid w:val="00860E68"/>
    <w:rsid w:val="008616A5"/>
    <w:rsid w:val="00862F63"/>
    <w:rsid w:val="00862FCD"/>
    <w:rsid w:val="00863CA9"/>
    <w:rsid w:val="008664F1"/>
    <w:rsid w:val="00866EB3"/>
    <w:rsid w:val="008700B1"/>
    <w:rsid w:val="008702BC"/>
    <w:rsid w:val="008709AA"/>
    <w:rsid w:val="00871271"/>
    <w:rsid w:val="008717B3"/>
    <w:rsid w:val="00871A25"/>
    <w:rsid w:val="0087203D"/>
    <w:rsid w:val="00873941"/>
    <w:rsid w:val="00875084"/>
    <w:rsid w:val="0087561E"/>
    <w:rsid w:val="00875C6E"/>
    <w:rsid w:val="00876178"/>
    <w:rsid w:val="008771AA"/>
    <w:rsid w:val="00877350"/>
    <w:rsid w:val="00877742"/>
    <w:rsid w:val="00877CC7"/>
    <w:rsid w:val="00880445"/>
    <w:rsid w:val="0088131A"/>
    <w:rsid w:val="00881A84"/>
    <w:rsid w:val="008828C5"/>
    <w:rsid w:val="00882B7B"/>
    <w:rsid w:val="00883380"/>
    <w:rsid w:val="0088347E"/>
    <w:rsid w:val="008835A7"/>
    <w:rsid w:val="00884C0E"/>
    <w:rsid w:val="0088604F"/>
    <w:rsid w:val="0088609C"/>
    <w:rsid w:val="00886665"/>
    <w:rsid w:val="008871CA"/>
    <w:rsid w:val="00887203"/>
    <w:rsid w:val="00887599"/>
    <w:rsid w:val="00890359"/>
    <w:rsid w:val="008904FE"/>
    <w:rsid w:val="008906C7"/>
    <w:rsid w:val="00891012"/>
    <w:rsid w:val="00891485"/>
    <w:rsid w:val="008918E2"/>
    <w:rsid w:val="00891A1E"/>
    <w:rsid w:val="00891B2E"/>
    <w:rsid w:val="00893BE7"/>
    <w:rsid w:val="00894763"/>
    <w:rsid w:val="00894829"/>
    <w:rsid w:val="00894AD2"/>
    <w:rsid w:val="00895CE6"/>
    <w:rsid w:val="0089616D"/>
    <w:rsid w:val="008961D5"/>
    <w:rsid w:val="00896C9B"/>
    <w:rsid w:val="0089777A"/>
    <w:rsid w:val="008A0857"/>
    <w:rsid w:val="008A219D"/>
    <w:rsid w:val="008A224D"/>
    <w:rsid w:val="008A22F3"/>
    <w:rsid w:val="008A2954"/>
    <w:rsid w:val="008A3A8B"/>
    <w:rsid w:val="008A4D8E"/>
    <w:rsid w:val="008A52CA"/>
    <w:rsid w:val="008A628B"/>
    <w:rsid w:val="008A68FC"/>
    <w:rsid w:val="008B05F7"/>
    <w:rsid w:val="008B0640"/>
    <w:rsid w:val="008B146F"/>
    <w:rsid w:val="008B1FF1"/>
    <w:rsid w:val="008B3730"/>
    <w:rsid w:val="008B3CBE"/>
    <w:rsid w:val="008B4185"/>
    <w:rsid w:val="008B4289"/>
    <w:rsid w:val="008B4A4D"/>
    <w:rsid w:val="008B4B2D"/>
    <w:rsid w:val="008B53BC"/>
    <w:rsid w:val="008B5F06"/>
    <w:rsid w:val="008B64EA"/>
    <w:rsid w:val="008B6A49"/>
    <w:rsid w:val="008B7750"/>
    <w:rsid w:val="008B7968"/>
    <w:rsid w:val="008C0342"/>
    <w:rsid w:val="008C1AB8"/>
    <w:rsid w:val="008C304C"/>
    <w:rsid w:val="008C3742"/>
    <w:rsid w:val="008C3EFD"/>
    <w:rsid w:val="008C43D2"/>
    <w:rsid w:val="008C5010"/>
    <w:rsid w:val="008C557F"/>
    <w:rsid w:val="008C6697"/>
    <w:rsid w:val="008C72CA"/>
    <w:rsid w:val="008C7516"/>
    <w:rsid w:val="008C7ACC"/>
    <w:rsid w:val="008D01A3"/>
    <w:rsid w:val="008D0AF0"/>
    <w:rsid w:val="008D131F"/>
    <w:rsid w:val="008D182A"/>
    <w:rsid w:val="008D1A39"/>
    <w:rsid w:val="008D2C36"/>
    <w:rsid w:val="008D310B"/>
    <w:rsid w:val="008D31A3"/>
    <w:rsid w:val="008D389A"/>
    <w:rsid w:val="008D40DD"/>
    <w:rsid w:val="008D4731"/>
    <w:rsid w:val="008D47C4"/>
    <w:rsid w:val="008D52F6"/>
    <w:rsid w:val="008D6528"/>
    <w:rsid w:val="008D6753"/>
    <w:rsid w:val="008D7B44"/>
    <w:rsid w:val="008D7F38"/>
    <w:rsid w:val="008E0253"/>
    <w:rsid w:val="008E02A0"/>
    <w:rsid w:val="008E10BA"/>
    <w:rsid w:val="008E1523"/>
    <w:rsid w:val="008E164F"/>
    <w:rsid w:val="008E1BA1"/>
    <w:rsid w:val="008E2C2E"/>
    <w:rsid w:val="008E337F"/>
    <w:rsid w:val="008E34F7"/>
    <w:rsid w:val="008E3A00"/>
    <w:rsid w:val="008E61F4"/>
    <w:rsid w:val="008E63BF"/>
    <w:rsid w:val="008E6B1B"/>
    <w:rsid w:val="008E7455"/>
    <w:rsid w:val="008F0C5B"/>
    <w:rsid w:val="008F14C7"/>
    <w:rsid w:val="008F185F"/>
    <w:rsid w:val="008F227C"/>
    <w:rsid w:val="008F2869"/>
    <w:rsid w:val="008F2C88"/>
    <w:rsid w:val="008F3195"/>
    <w:rsid w:val="008F3514"/>
    <w:rsid w:val="008F411A"/>
    <w:rsid w:val="008F4152"/>
    <w:rsid w:val="008F4503"/>
    <w:rsid w:val="008F6F27"/>
    <w:rsid w:val="009003F1"/>
    <w:rsid w:val="0090235B"/>
    <w:rsid w:val="00902D33"/>
    <w:rsid w:val="009038BD"/>
    <w:rsid w:val="00903C52"/>
    <w:rsid w:val="00904D75"/>
    <w:rsid w:val="009064C2"/>
    <w:rsid w:val="009068B9"/>
    <w:rsid w:val="00906C56"/>
    <w:rsid w:val="009070BD"/>
    <w:rsid w:val="0091016F"/>
    <w:rsid w:val="009101EF"/>
    <w:rsid w:val="0091032E"/>
    <w:rsid w:val="00910D24"/>
    <w:rsid w:val="00910F65"/>
    <w:rsid w:val="009127A3"/>
    <w:rsid w:val="00914115"/>
    <w:rsid w:val="00914645"/>
    <w:rsid w:val="00914D47"/>
    <w:rsid w:val="0091732A"/>
    <w:rsid w:val="0091794F"/>
    <w:rsid w:val="0092021C"/>
    <w:rsid w:val="00920320"/>
    <w:rsid w:val="009210B0"/>
    <w:rsid w:val="009212EE"/>
    <w:rsid w:val="00921379"/>
    <w:rsid w:val="0092219D"/>
    <w:rsid w:val="00922692"/>
    <w:rsid w:val="00922BE9"/>
    <w:rsid w:val="00922F10"/>
    <w:rsid w:val="00922F70"/>
    <w:rsid w:val="00922F87"/>
    <w:rsid w:val="0092435A"/>
    <w:rsid w:val="00925EA1"/>
    <w:rsid w:val="00926F08"/>
    <w:rsid w:val="0092745A"/>
    <w:rsid w:val="009278B6"/>
    <w:rsid w:val="00927925"/>
    <w:rsid w:val="00930FA1"/>
    <w:rsid w:val="00931468"/>
    <w:rsid w:val="009314B6"/>
    <w:rsid w:val="009318B1"/>
    <w:rsid w:val="009321C1"/>
    <w:rsid w:val="0093226C"/>
    <w:rsid w:val="00932565"/>
    <w:rsid w:val="009337B2"/>
    <w:rsid w:val="0093408A"/>
    <w:rsid w:val="00934560"/>
    <w:rsid w:val="00934E0B"/>
    <w:rsid w:val="00935023"/>
    <w:rsid w:val="00935E06"/>
    <w:rsid w:val="00937DD3"/>
    <w:rsid w:val="00940614"/>
    <w:rsid w:val="00940A6E"/>
    <w:rsid w:val="00940E25"/>
    <w:rsid w:val="009434EA"/>
    <w:rsid w:val="009453C7"/>
    <w:rsid w:val="009458CF"/>
    <w:rsid w:val="00945988"/>
    <w:rsid w:val="00945DAB"/>
    <w:rsid w:val="0094622E"/>
    <w:rsid w:val="00946245"/>
    <w:rsid w:val="009466C4"/>
    <w:rsid w:val="00946BC2"/>
    <w:rsid w:val="009472DF"/>
    <w:rsid w:val="009473BD"/>
    <w:rsid w:val="009477C9"/>
    <w:rsid w:val="00947AF8"/>
    <w:rsid w:val="00951192"/>
    <w:rsid w:val="0095180F"/>
    <w:rsid w:val="0095204E"/>
    <w:rsid w:val="00953180"/>
    <w:rsid w:val="009532D2"/>
    <w:rsid w:val="009535C3"/>
    <w:rsid w:val="00953934"/>
    <w:rsid w:val="00954DA8"/>
    <w:rsid w:val="00957ED5"/>
    <w:rsid w:val="0096019C"/>
    <w:rsid w:val="00960987"/>
    <w:rsid w:val="00960E2B"/>
    <w:rsid w:val="00960F79"/>
    <w:rsid w:val="0096129F"/>
    <w:rsid w:val="00961676"/>
    <w:rsid w:val="00961CF0"/>
    <w:rsid w:val="0096237D"/>
    <w:rsid w:val="00962446"/>
    <w:rsid w:val="00962674"/>
    <w:rsid w:val="00963923"/>
    <w:rsid w:val="00964393"/>
    <w:rsid w:val="0096744E"/>
    <w:rsid w:val="00967F55"/>
    <w:rsid w:val="00970CAE"/>
    <w:rsid w:val="00971A6D"/>
    <w:rsid w:val="0097276D"/>
    <w:rsid w:val="009729E8"/>
    <w:rsid w:val="00972BE5"/>
    <w:rsid w:val="009756B4"/>
    <w:rsid w:val="009756CB"/>
    <w:rsid w:val="00976CAF"/>
    <w:rsid w:val="00976D34"/>
    <w:rsid w:val="0097741B"/>
    <w:rsid w:val="00977674"/>
    <w:rsid w:val="00983B54"/>
    <w:rsid w:val="00984857"/>
    <w:rsid w:val="00984DD6"/>
    <w:rsid w:val="00985966"/>
    <w:rsid w:val="00985A1C"/>
    <w:rsid w:val="00986972"/>
    <w:rsid w:val="00986E27"/>
    <w:rsid w:val="009872C8"/>
    <w:rsid w:val="0098737F"/>
    <w:rsid w:val="009878D9"/>
    <w:rsid w:val="0098791F"/>
    <w:rsid w:val="00987F57"/>
    <w:rsid w:val="009900CC"/>
    <w:rsid w:val="009906CF"/>
    <w:rsid w:val="00991AB9"/>
    <w:rsid w:val="00991F09"/>
    <w:rsid w:val="00992170"/>
    <w:rsid w:val="00992258"/>
    <w:rsid w:val="00992A6A"/>
    <w:rsid w:val="00993172"/>
    <w:rsid w:val="009931E7"/>
    <w:rsid w:val="00993234"/>
    <w:rsid w:val="00993536"/>
    <w:rsid w:val="009937DA"/>
    <w:rsid w:val="00993C93"/>
    <w:rsid w:val="009958AF"/>
    <w:rsid w:val="009964B8"/>
    <w:rsid w:val="009A0BC7"/>
    <w:rsid w:val="009A1204"/>
    <w:rsid w:val="009A2568"/>
    <w:rsid w:val="009A39CB"/>
    <w:rsid w:val="009A3C77"/>
    <w:rsid w:val="009A5449"/>
    <w:rsid w:val="009A56F6"/>
    <w:rsid w:val="009A5735"/>
    <w:rsid w:val="009A60A8"/>
    <w:rsid w:val="009A6F64"/>
    <w:rsid w:val="009A7FEF"/>
    <w:rsid w:val="009B0C72"/>
    <w:rsid w:val="009B194F"/>
    <w:rsid w:val="009B238C"/>
    <w:rsid w:val="009B3A95"/>
    <w:rsid w:val="009B4EBD"/>
    <w:rsid w:val="009B59DF"/>
    <w:rsid w:val="009B622F"/>
    <w:rsid w:val="009B6811"/>
    <w:rsid w:val="009B7239"/>
    <w:rsid w:val="009B789A"/>
    <w:rsid w:val="009B7DA6"/>
    <w:rsid w:val="009C110D"/>
    <w:rsid w:val="009C18D2"/>
    <w:rsid w:val="009C2145"/>
    <w:rsid w:val="009C2B33"/>
    <w:rsid w:val="009C2BF5"/>
    <w:rsid w:val="009C3792"/>
    <w:rsid w:val="009C3F14"/>
    <w:rsid w:val="009C4051"/>
    <w:rsid w:val="009C5A84"/>
    <w:rsid w:val="009C6194"/>
    <w:rsid w:val="009C67DD"/>
    <w:rsid w:val="009C6B6F"/>
    <w:rsid w:val="009C6DF6"/>
    <w:rsid w:val="009C78DB"/>
    <w:rsid w:val="009C7C2E"/>
    <w:rsid w:val="009D0212"/>
    <w:rsid w:val="009D1856"/>
    <w:rsid w:val="009D1BAA"/>
    <w:rsid w:val="009D2B9D"/>
    <w:rsid w:val="009D30C9"/>
    <w:rsid w:val="009D35B0"/>
    <w:rsid w:val="009D5838"/>
    <w:rsid w:val="009D5AF6"/>
    <w:rsid w:val="009D6908"/>
    <w:rsid w:val="009D6AF0"/>
    <w:rsid w:val="009D6EF7"/>
    <w:rsid w:val="009D746A"/>
    <w:rsid w:val="009E01B9"/>
    <w:rsid w:val="009E1242"/>
    <w:rsid w:val="009E1357"/>
    <w:rsid w:val="009E137D"/>
    <w:rsid w:val="009E1C64"/>
    <w:rsid w:val="009E1E54"/>
    <w:rsid w:val="009E1E6C"/>
    <w:rsid w:val="009E42E3"/>
    <w:rsid w:val="009E4B21"/>
    <w:rsid w:val="009E4D5A"/>
    <w:rsid w:val="009E5D18"/>
    <w:rsid w:val="009E6390"/>
    <w:rsid w:val="009E6E3D"/>
    <w:rsid w:val="009F0075"/>
    <w:rsid w:val="009F0759"/>
    <w:rsid w:val="009F0DF7"/>
    <w:rsid w:val="009F1A74"/>
    <w:rsid w:val="009F293F"/>
    <w:rsid w:val="009F3207"/>
    <w:rsid w:val="009F3990"/>
    <w:rsid w:val="009F3F12"/>
    <w:rsid w:val="009F4A39"/>
    <w:rsid w:val="009F4CA9"/>
    <w:rsid w:val="009F535F"/>
    <w:rsid w:val="009F6064"/>
    <w:rsid w:val="009F6A5E"/>
    <w:rsid w:val="009F7750"/>
    <w:rsid w:val="009F787C"/>
    <w:rsid w:val="009F7F49"/>
    <w:rsid w:val="009F7FE9"/>
    <w:rsid w:val="00A00039"/>
    <w:rsid w:val="00A00906"/>
    <w:rsid w:val="00A01182"/>
    <w:rsid w:val="00A015FF"/>
    <w:rsid w:val="00A01893"/>
    <w:rsid w:val="00A02774"/>
    <w:rsid w:val="00A02E6B"/>
    <w:rsid w:val="00A030B8"/>
    <w:rsid w:val="00A0321D"/>
    <w:rsid w:val="00A033C6"/>
    <w:rsid w:val="00A03E13"/>
    <w:rsid w:val="00A04AEF"/>
    <w:rsid w:val="00A04B0C"/>
    <w:rsid w:val="00A04E1F"/>
    <w:rsid w:val="00A0561C"/>
    <w:rsid w:val="00A061A1"/>
    <w:rsid w:val="00A10263"/>
    <w:rsid w:val="00A115C0"/>
    <w:rsid w:val="00A11A97"/>
    <w:rsid w:val="00A125C6"/>
    <w:rsid w:val="00A12675"/>
    <w:rsid w:val="00A130A6"/>
    <w:rsid w:val="00A1406D"/>
    <w:rsid w:val="00A16C17"/>
    <w:rsid w:val="00A21125"/>
    <w:rsid w:val="00A21223"/>
    <w:rsid w:val="00A2187A"/>
    <w:rsid w:val="00A22EBC"/>
    <w:rsid w:val="00A237F1"/>
    <w:rsid w:val="00A24B46"/>
    <w:rsid w:val="00A253CE"/>
    <w:rsid w:val="00A27308"/>
    <w:rsid w:val="00A273E1"/>
    <w:rsid w:val="00A27B2A"/>
    <w:rsid w:val="00A30751"/>
    <w:rsid w:val="00A30DFA"/>
    <w:rsid w:val="00A31472"/>
    <w:rsid w:val="00A31C5E"/>
    <w:rsid w:val="00A326D0"/>
    <w:rsid w:val="00A32B8D"/>
    <w:rsid w:val="00A32F91"/>
    <w:rsid w:val="00A33125"/>
    <w:rsid w:val="00A33381"/>
    <w:rsid w:val="00A3356B"/>
    <w:rsid w:val="00A34167"/>
    <w:rsid w:val="00A34506"/>
    <w:rsid w:val="00A34A2A"/>
    <w:rsid w:val="00A34AD6"/>
    <w:rsid w:val="00A34E71"/>
    <w:rsid w:val="00A34F5D"/>
    <w:rsid w:val="00A3522D"/>
    <w:rsid w:val="00A35535"/>
    <w:rsid w:val="00A355A2"/>
    <w:rsid w:val="00A36380"/>
    <w:rsid w:val="00A36A0A"/>
    <w:rsid w:val="00A40235"/>
    <w:rsid w:val="00A40CAA"/>
    <w:rsid w:val="00A4132D"/>
    <w:rsid w:val="00A41B6F"/>
    <w:rsid w:val="00A41BF2"/>
    <w:rsid w:val="00A43453"/>
    <w:rsid w:val="00A43CE1"/>
    <w:rsid w:val="00A46CA3"/>
    <w:rsid w:val="00A475E3"/>
    <w:rsid w:val="00A47780"/>
    <w:rsid w:val="00A47C62"/>
    <w:rsid w:val="00A47EA0"/>
    <w:rsid w:val="00A50DEE"/>
    <w:rsid w:val="00A519E0"/>
    <w:rsid w:val="00A51E09"/>
    <w:rsid w:val="00A521EF"/>
    <w:rsid w:val="00A5343A"/>
    <w:rsid w:val="00A53F80"/>
    <w:rsid w:val="00A540F9"/>
    <w:rsid w:val="00A54153"/>
    <w:rsid w:val="00A55E52"/>
    <w:rsid w:val="00A56809"/>
    <w:rsid w:val="00A57248"/>
    <w:rsid w:val="00A578B7"/>
    <w:rsid w:val="00A57B0C"/>
    <w:rsid w:val="00A60125"/>
    <w:rsid w:val="00A60D45"/>
    <w:rsid w:val="00A61A9F"/>
    <w:rsid w:val="00A61CF8"/>
    <w:rsid w:val="00A62C35"/>
    <w:rsid w:val="00A6399C"/>
    <w:rsid w:val="00A63F1E"/>
    <w:rsid w:val="00A63F78"/>
    <w:rsid w:val="00A641E2"/>
    <w:rsid w:val="00A64E6B"/>
    <w:rsid w:val="00A651D5"/>
    <w:rsid w:val="00A65A3B"/>
    <w:rsid w:val="00A66BD7"/>
    <w:rsid w:val="00A66F27"/>
    <w:rsid w:val="00A71038"/>
    <w:rsid w:val="00A710D7"/>
    <w:rsid w:val="00A71451"/>
    <w:rsid w:val="00A72BFE"/>
    <w:rsid w:val="00A73941"/>
    <w:rsid w:val="00A73ECD"/>
    <w:rsid w:val="00A744F5"/>
    <w:rsid w:val="00A76B12"/>
    <w:rsid w:val="00A77A91"/>
    <w:rsid w:val="00A77B77"/>
    <w:rsid w:val="00A77EBE"/>
    <w:rsid w:val="00A80396"/>
    <w:rsid w:val="00A812B8"/>
    <w:rsid w:val="00A8281A"/>
    <w:rsid w:val="00A82A60"/>
    <w:rsid w:val="00A82B69"/>
    <w:rsid w:val="00A83584"/>
    <w:rsid w:val="00A836D6"/>
    <w:rsid w:val="00A83EB9"/>
    <w:rsid w:val="00A84545"/>
    <w:rsid w:val="00A84AF8"/>
    <w:rsid w:val="00A84C29"/>
    <w:rsid w:val="00A84F70"/>
    <w:rsid w:val="00A857BE"/>
    <w:rsid w:val="00A870E8"/>
    <w:rsid w:val="00A87E5D"/>
    <w:rsid w:val="00A90DA0"/>
    <w:rsid w:val="00A915A8"/>
    <w:rsid w:val="00A92087"/>
    <w:rsid w:val="00A92101"/>
    <w:rsid w:val="00A96786"/>
    <w:rsid w:val="00A9795A"/>
    <w:rsid w:val="00AA0BBC"/>
    <w:rsid w:val="00AA113C"/>
    <w:rsid w:val="00AA1604"/>
    <w:rsid w:val="00AA19B8"/>
    <w:rsid w:val="00AA1B9F"/>
    <w:rsid w:val="00AA25A9"/>
    <w:rsid w:val="00AA25FB"/>
    <w:rsid w:val="00AA2BAD"/>
    <w:rsid w:val="00AA3AA8"/>
    <w:rsid w:val="00AA5147"/>
    <w:rsid w:val="00AA63D1"/>
    <w:rsid w:val="00AA6D74"/>
    <w:rsid w:val="00AA756F"/>
    <w:rsid w:val="00AA7892"/>
    <w:rsid w:val="00AB0904"/>
    <w:rsid w:val="00AB1338"/>
    <w:rsid w:val="00AB1D3A"/>
    <w:rsid w:val="00AB1EE1"/>
    <w:rsid w:val="00AB1EFF"/>
    <w:rsid w:val="00AB2B29"/>
    <w:rsid w:val="00AB2BDF"/>
    <w:rsid w:val="00AB2C5A"/>
    <w:rsid w:val="00AB31B9"/>
    <w:rsid w:val="00AB57F8"/>
    <w:rsid w:val="00AB5BD5"/>
    <w:rsid w:val="00AB62F4"/>
    <w:rsid w:val="00AB692C"/>
    <w:rsid w:val="00AB7FB0"/>
    <w:rsid w:val="00AC0165"/>
    <w:rsid w:val="00AC15A3"/>
    <w:rsid w:val="00AC1982"/>
    <w:rsid w:val="00AC1F82"/>
    <w:rsid w:val="00AC2716"/>
    <w:rsid w:val="00AC439C"/>
    <w:rsid w:val="00AC4A1E"/>
    <w:rsid w:val="00AC4EA9"/>
    <w:rsid w:val="00AC6694"/>
    <w:rsid w:val="00AC697F"/>
    <w:rsid w:val="00AC7C64"/>
    <w:rsid w:val="00AD327E"/>
    <w:rsid w:val="00AD3779"/>
    <w:rsid w:val="00AD3F0C"/>
    <w:rsid w:val="00AD6626"/>
    <w:rsid w:val="00AD7E4D"/>
    <w:rsid w:val="00AE0DC4"/>
    <w:rsid w:val="00AE154C"/>
    <w:rsid w:val="00AE1901"/>
    <w:rsid w:val="00AE1D25"/>
    <w:rsid w:val="00AE21BB"/>
    <w:rsid w:val="00AE2679"/>
    <w:rsid w:val="00AE2E29"/>
    <w:rsid w:val="00AE2E69"/>
    <w:rsid w:val="00AE2EFB"/>
    <w:rsid w:val="00AE31C5"/>
    <w:rsid w:val="00AE69DE"/>
    <w:rsid w:val="00AE6BDD"/>
    <w:rsid w:val="00AE7220"/>
    <w:rsid w:val="00AE7ACE"/>
    <w:rsid w:val="00AE7BA0"/>
    <w:rsid w:val="00AF00BE"/>
    <w:rsid w:val="00AF010C"/>
    <w:rsid w:val="00AF2034"/>
    <w:rsid w:val="00AF2257"/>
    <w:rsid w:val="00AF2679"/>
    <w:rsid w:val="00AF2B7A"/>
    <w:rsid w:val="00AF35DE"/>
    <w:rsid w:val="00AF3B52"/>
    <w:rsid w:val="00AF49F1"/>
    <w:rsid w:val="00AF4B1B"/>
    <w:rsid w:val="00AF4F35"/>
    <w:rsid w:val="00AF5190"/>
    <w:rsid w:val="00AF59AD"/>
    <w:rsid w:val="00AF5B87"/>
    <w:rsid w:val="00AF5EB8"/>
    <w:rsid w:val="00AF5FA3"/>
    <w:rsid w:val="00AF6480"/>
    <w:rsid w:val="00AF6A32"/>
    <w:rsid w:val="00AF6CB5"/>
    <w:rsid w:val="00B005C2"/>
    <w:rsid w:val="00B008ED"/>
    <w:rsid w:val="00B00CDB"/>
    <w:rsid w:val="00B01726"/>
    <w:rsid w:val="00B018AA"/>
    <w:rsid w:val="00B022D1"/>
    <w:rsid w:val="00B030BF"/>
    <w:rsid w:val="00B04094"/>
    <w:rsid w:val="00B04AC1"/>
    <w:rsid w:val="00B04C35"/>
    <w:rsid w:val="00B0573D"/>
    <w:rsid w:val="00B058A5"/>
    <w:rsid w:val="00B05CCA"/>
    <w:rsid w:val="00B07167"/>
    <w:rsid w:val="00B074C2"/>
    <w:rsid w:val="00B10164"/>
    <w:rsid w:val="00B10426"/>
    <w:rsid w:val="00B1045F"/>
    <w:rsid w:val="00B1071B"/>
    <w:rsid w:val="00B1107A"/>
    <w:rsid w:val="00B116B0"/>
    <w:rsid w:val="00B11ACC"/>
    <w:rsid w:val="00B11B7C"/>
    <w:rsid w:val="00B11DDD"/>
    <w:rsid w:val="00B11F6D"/>
    <w:rsid w:val="00B1224D"/>
    <w:rsid w:val="00B12DEE"/>
    <w:rsid w:val="00B132C5"/>
    <w:rsid w:val="00B13425"/>
    <w:rsid w:val="00B148A6"/>
    <w:rsid w:val="00B15D97"/>
    <w:rsid w:val="00B166F7"/>
    <w:rsid w:val="00B16760"/>
    <w:rsid w:val="00B16879"/>
    <w:rsid w:val="00B17CD9"/>
    <w:rsid w:val="00B17DBA"/>
    <w:rsid w:val="00B20548"/>
    <w:rsid w:val="00B20D48"/>
    <w:rsid w:val="00B21BD7"/>
    <w:rsid w:val="00B21D83"/>
    <w:rsid w:val="00B224EA"/>
    <w:rsid w:val="00B22614"/>
    <w:rsid w:val="00B22AD9"/>
    <w:rsid w:val="00B23652"/>
    <w:rsid w:val="00B23714"/>
    <w:rsid w:val="00B243A5"/>
    <w:rsid w:val="00B24501"/>
    <w:rsid w:val="00B25431"/>
    <w:rsid w:val="00B256ED"/>
    <w:rsid w:val="00B2600D"/>
    <w:rsid w:val="00B267C8"/>
    <w:rsid w:val="00B30670"/>
    <w:rsid w:val="00B3175D"/>
    <w:rsid w:val="00B31C5B"/>
    <w:rsid w:val="00B32729"/>
    <w:rsid w:val="00B3394E"/>
    <w:rsid w:val="00B33B74"/>
    <w:rsid w:val="00B348E0"/>
    <w:rsid w:val="00B35083"/>
    <w:rsid w:val="00B35162"/>
    <w:rsid w:val="00B3677B"/>
    <w:rsid w:val="00B378D7"/>
    <w:rsid w:val="00B379B0"/>
    <w:rsid w:val="00B37C4C"/>
    <w:rsid w:val="00B4044D"/>
    <w:rsid w:val="00B416C7"/>
    <w:rsid w:val="00B42199"/>
    <w:rsid w:val="00B42272"/>
    <w:rsid w:val="00B428FD"/>
    <w:rsid w:val="00B42D3B"/>
    <w:rsid w:val="00B43210"/>
    <w:rsid w:val="00B44A8F"/>
    <w:rsid w:val="00B44AC6"/>
    <w:rsid w:val="00B45CA3"/>
    <w:rsid w:val="00B47BF8"/>
    <w:rsid w:val="00B47FE8"/>
    <w:rsid w:val="00B507B5"/>
    <w:rsid w:val="00B542D8"/>
    <w:rsid w:val="00B54384"/>
    <w:rsid w:val="00B54B2C"/>
    <w:rsid w:val="00B55772"/>
    <w:rsid w:val="00B565DB"/>
    <w:rsid w:val="00B577A7"/>
    <w:rsid w:val="00B605C6"/>
    <w:rsid w:val="00B60D8F"/>
    <w:rsid w:val="00B60FA9"/>
    <w:rsid w:val="00B62E69"/>
    <w:rsid w:val="00B643CD"/>
    <w:rsid w:val="00B649E5"/>
    <w:rsid w:val="00B64EF5"/>
    <w:rsid w:val="00B66149"/>
    <w:rsid w:val="00B716A9"/>
    <w:rsid w:val="00B7181E"/>
    <w:rsid w:val="00B7262E"/>
    <w:rsid w:val="00B72740"/>
    <w:rsid w:val="00B743F4"/>
    <w:rsid w:val="00B752C1"/>
    <w:rsid w:val="00B76626"/>
    <w:rsid w:val="00B76CE6"/>
    <w:rsid w:val="00B76D1C"/>
    <w:rsid w:val="00B77E05"/>
    <w:rsid w:val="00B8185C"/>
    <w:rsid w:val="00B819B5"/>
    <w:rsid w:val="00B81DD9"/>
    <w:rsid w:val="00B823F1"/>
    <w:rsid w:val="00B82AF2"/>
    <w:rsid w:val="00B82BAD"/>
    <w:rsid w:val="00B82EE0"/>
    <w:rsid w:val="00B833A4"/>
    <w:rsid w:val="00B833A6"/>
    <w:rsid w:val="00B845B8"/>
    <w:rsid w:val="00B84A7E"/>
    <w:rsid w:val="00B855D4"/>
    <w:rsid w:val="00B864AC"/>
    <w:rsid w:val="00B870E4"/>
    <w:rsid w:val="00B87632"/>
    <w:rsid w:val="00B87908"/>
    <w:rsid w:val="00B9022F"/>
    <w:rsid w:val="00B90E9E"/>
    <w:rsid w:val="00B91AD2"/>
    <w:rsid w:val="00B91F1A"/>
    <w:rsid w:val="00B9252B"/>
    <w:rsid w:val="00B92B50"/>
    <w:rsid w:val="00B931BE"/>
    <w:rsid w:val="00B9435C"/>
    <w:rsid w:val="00B945A6"/>
    <w:rsid w:val="00B948D9"/>
    <w:rsid w:val="00B95149"/>
    <w:rsid w:val="00B959D2"/>
    <w:rsid w:val="00B9682F"/>
    <w:rsid w:val="00B9714D"/>
    <w:rsid w:val="00B975C1"/>
    <w:rsid w:val="00B97B00"/>
    <w:rsid w:val="00BA1C25"/>
    <w:rsid w:val="00BA1F60"/>
    <w:rsid w:val="00BA32B4"/>
    <w:rsid w:val="00BA394E"/>
    <w:rsid w:val="00BA4505"/>
    <w:rsid w:val="00BB02AD"/>
    <w:rsid w:val="00BB1425"/>
    <w:rsid w:val="00BB1552"/>
    <w:rsid w:val="00BB1638"/>
    <w:rsid w:val="00BB20F2"/>
    <w:rsid w:val="00BB3037"/>
    <w:rsid w:val="00BB385E"/>
    <w:rsid w:val="00BB3F43"/>
    <w:rsid w:val="00BB41E2"/>
    <w:rsid w:val="00BB45CB"/>
    <w:rsid w:val="00BB6FD8"/>
    <w:rsid w:val="00BB7A0B"/>
    <w:rsid w:val="00BB7DFB"/>
    <w:rsid w:val="00BC04C1"/>
    <w:rsid w:val="00BC1C6F"/>
    <w:rsid w:val="00BC3F8F"/>
    <w:rsid w:val="00BC3FE8"/>
    <w:rsid w:val="00BC4685"/>
    <w:rsid w:val="00BC54C0"/>
    <w:rsid w:val="00BC5973"/>
    <w:rsid w:val="00BC6444"/>
    <w:rsid w:val="00BC766F"/>
    <w:rsid w:val="00BC772E"/>
    <w:rsid w:val="00BC7ED3"/>
    <w:rsid w:val="00BD1A69"/>
    <w:rsid w:val="00BD1B06"/>
    <w:rsid w:val="00BD2796"/>
    <w:rsid w:val="00BD3E3F"/>
    <w:rsid w:val="00BD43C1"/>
    <w:rsid w:val="00BD4B29"/>
    <w:rsid w:val="00BD4DA4"/>
    <w:rsid w:val="00BD5893"/>
    <w:rsid w:val="00BD599C"/>
    <w:rsid w:val="00BD5D7C"/>
    <w:rsid w:val="00BD6B5B"/>
    <w:rsid w:val="00BD77A9"/>
    <w:rsid w:val="00BD7D6B"/>
    <w:rsid w:val="00BD7EFA"/>
    <w:rsid w:val="00BE13CA"/>
    <w:rsid w:val="00BE162B"/>
    <w:rsid w:val="00BE23CA"/>
    <w:rsid w:val="00BE29B6"/>
    <w:rsid w:val="00BE3830"/>
    <w:rsid w:val="00BE3A03"/>
    <w:rsid w:val="00BE3A95"/>
    <w:rsid w:val="00BE3AA9"/>
    <w:rsid w:val="00BE42B3"/>
    <w:rsid w:val="00BE48A6"/>
    <w:rsid w:val="00BE4B23"/>
    <w:rsid w:val="00BE5299"/>
    <w:rsid w:val="00BE53D9"/>
    <w:rsid w:val="00BE5C2D"/>
    <w:rsid w:val="00BE6173"/>
    <w:rsid w:val="00BE66BE"/>
    <w:rsid w:val="00BE78C0"/>
    <w:rsid w:val="00BF1475"/>
    <w:rsid w:val="00BF1606"/>
    <w:rsid w:val="00BF1B40"/>
    <w:rsid w:val="00BF2628"/>
    <w:rsid w:val="00BF2A79"/>
    <w:rsid w:val="00BF2C6D"/>
    <w:rsid w:val="00BF31FB"/>
    <w:rsid w:val="00BF3FA9"/>
    <w:rsid w:val="00BF4EDF"/>
    <w:rsid w:val="00BF5F61"/>
    <w:rsid w:val="00BF63E1"/>
    <w:rsid w:val="00BF7C07"/>
    <w:rsid w:val="00C00377"/>
    <w:rsid w:val="00C00B48"/>
    <w:rsid w:val="00C00F22"/>
    <w:rsid w:val="00C0140C"/>
    <w:rsid w:val="00C020A7"/>
    <w:rsid w:val="00C0253F"/>
    <w:rsid w:val="00C026C7"/>
    <w:rsid w:val="00C042C0"/>
    <w:rsid w:val="00C04C54"/>
    <w:rsid w:val="00C0516C"/>
    <w:rsid w:val="00C0517E"/>
    <w:rsid w:val="00C058E1"/>
    <w:rsid w:val="00C072EF"/>
    <w:rsid w:val="00C0756A"/>
    <w:rsid w:val="00C11119"/>
    <w:rsid w:val="00C11A87"/>
    <w:rsid w:val="00C12CF9"/>
    <w:rsid w:val="00C130CB"/>
    <w:rsid w:val="00C13438"/>
    <w:rsid w:val="00C13DCA"/>
    <w:rsid w:val="00C14460"/>
    <w:rsid w:val="00C14474"/>
    <w:rsid w:val="00C15709"/>
    <w:rsid w:val="00C15E0A"/>
    <w:rsid w:val="00C15E2A"/>
    <w:rsid w:val="00C1686B"/>
    <w:rsid w:val="00C16C13"/>
    <w:rsid w:val="00C17329"/>
    <w:rsid w:val="00C173FA"/>
    <w:rsid w:val="00C216C4"/>
    <w:rsid w:val="00C224D3"/>
    <w:rsid w:val="00C22781"/>
    <w:rsid w:val="00C2437F"/>
    <w:rsid w:val="00C24894"/>
    <w:rsid w:val="00C24987"/>
    <w:rsid w:val="00C269AF"/>
    <w:rsid w:val="00C26C0F"/>
    <w:rsid w:val="00C27B80"/>
    <w:rsid w:val="00C301D6"/>
    <w:rsid w:val="00C303A1"/>
    <w:rsid w:val="00C308A0"/>
    <w:rsid w:val="00C30B27"/>
    <w:rsid w:val="00C3101D"/>
    <w:rsid w:val="00C31698"/>
    <w:rsid w:val="00C3258B"/>
    <w:rsid w:val="00C32A63"/>
    <w:rsid w:val="00C354D2"/>
    <w:rsid w:val="00C35755"/>
    <w:rsid w:val="00C35DC5"/>
    <w:rsid w:val="00C362CC"/>
    <w:rsid w:val="00C36AB2"/>
    <w:rsid w:val="00C37616"/>
    <w:rsid w:val="00C37BAF"/>
    <w:rsid w:val="00C402C4"/>
    <w:rsid w:val="00C403BE"/>
    <w:rsid w:val="00C4134A"/>
    <w:rsid w:val="00C42B8F"/>
    <w:rsid w:val="00C4306D"/>
    <w:rsid w:val="00C4422F"/>
    <w:rsid w:val="00C45C28"/>
    <w:rsid w:val="00C463AB"/>
    <w:rsid w:val="00C46BD9"/>
    <w:rsid w:val="00C47165"/>
    <w:rsid w:val="00C50024"/>
    <w:rsid w:val="00C504C6"/>
    <w:rsid w:val="00C505D5"/>
    <w:rsid w:val="00C5091A"/>
    <w:rsid w:val="00C50E8B"/>
    <w:rsid w:val="00C510B3"/>
    <w:rsid w:val="00C51F37"/>
    <w:rsid w:val="00C52B60"/>
    <w:rsid w:val="00C52E12"/>
    <w:rsid w:val="00C52FC7"/>
    <w:rsid w:val="00C5316B"/>
    <w:rsid w:val="00C53731"/>
    <w:rsid w:val="00C53C1F"/>
    <w:rsid w:val="00C53CA8"/>
    <w:rsid w:val="00C54870"/>
    <w:rsid w:val="00C54DF4"/>
    <w:rsid w:val="00C553BE"/>
    <w:rsid w:val="00C55420"/>
    <w:rsid w:val="00C55F28"/>
    <w:rsid w:val="00C562A4"/>
    <w:rsid w:val="00C56634"/>
    <w:rsid w:val="00C57F17"/>
    <w:rsid w:val="00C57FD6"/>
    <w:rsid w:val="00C60E4C"/>
    <w:rsid w:val="00C61A7C"/>
    <w:rsid w:val="00C62967"/>
    <w:rsid w:val="00C630CA"/>
    <w:rsid w:val="00C631FE"/>
    <w:rsid w:val="00C6385C"/>
    <w:rsid w:val="00C647C5"/>
    <w:rsid w:val="00C64A70"/>
    <w:rsid w:val="00C65671"/>
    <w:rsid w:val="00C65DB4"/>
    <w:rsid w:val="00C67068"/>
    <w:rsid w:val="00C70016"/>
    <w:rsid w:val="00C70A31"/>
    <w:rsid w:val="00C70E92"/>
    <w:rsid w:val="00C70FE9"/>
    <w:rsid w:val="00C714C3"/>
    <w:rsid w:val="00C71985"/>
    <w:rsid w:val="00C72287"/>
    <w:rsid w:val="00C722B7"/>
    <w:rsid w:val="00C7234B"/>
    <w:rsid w:val="00C72C79"/>
    <w:rsid w:val="00C744CF"/>
    <w:rsid w:val="00C75A36"/>
    <w:rsid w:val="00C768B3"/>
    <w:rsid w:val="00C77338"/>
    <w:rsid w:val="00C77383"/>
    <w:rsid w:val="00C80C2C"/>
    <w:rsid w:val="00C82070"/>
    <w:rsid w:val="00C826E5"/>
    <w:rsid w:val="00C82EAC"/>
    <w:rsid w:val="00C83006"/>
    <w:rsid w:val="00C83747"/>
    <w:rsid w:val="00C8425E"/>
    <w:rsid w:val="00C84C3B"/>
    <w:rsid w:val="00C85C8A"/>
    <w:rsid w:val="00C8636B"/>
    <w:rsid w:val="00C863F3"/>
    <w:rsid w:val="00C86D91"/>
    <w:rsid w:val="00C879C4"/>
    <w:rsid w:val="00C90FD1"/>
    <w:rsid w:val="00C9155D"/>
    <w:rsid w:val="00C919CB"/>
    <w:rsid w:val="00C91F1B"/>
    <w:rsid w:val="00C92851"/>
    <w:rsid w:val="00C9299F"/>
    <w:rsid w:val="00C92E17"/>
    <w:rsid w:val="00C9318F"/>
    <w:rsid w:val="00C9386C"/>
    <w:rsid w:val="00C93EEC"/>
    <w:rsid w:val="00C941FA"/>
    <w:rsid w:val="00C958FE"/>
    <w:rsid w:val="00C95D08"/>
    <w:rsid w:val="00C96394"/>
    <w:rsid w:val="00CA08AF"/>
    <w:rsid w:val="00CA0F31"/>
    <w:rsid w:val="00CA0F48"/>
    <w:rsid w:val="00CA1656"/>
    <w:rsid w:val="00CA1FC0"/>
    <w:rsid w:val="00CA30D1"/>
    <w:rsid w:val="00CA3965"/>
    <w:rsid w:val="00CA4275"/>
    <w:rsid w:val="00CA43AF"/>
    <w:rsid w:val="00CA4DDE"/>
    <w:rsid w:val="00CA518F"/>
    <w:rsid w:val="00CA5FFC"/>
    <w:rsid w:val="00CA724E"/>
    <w:rsid w:val="00CA79E7"/>
    <w:rsid w:val="00CB03C2"/>
    <w:rsid w:val="00CB065B"/>
    <w:rsid w:val="00CB073D"/>
    <w:rsid w:val="00CB0ACD"/>
    <w:rsid w:val="00CB13B4"/>
    <w:rsid w:val="00CB1A01"/>
    <w:rsid w:val="00CB3CC0"/>
    <w:rsid w:val="00CB423C"/>
    <w:rsid w:val="00CB4820"/>
    <w:rsid w:val="00CB57A0"/>
    <w:rsid w:val="00CB58E4"/>
    <w:rsid w:val="00CB5EE5"/>
    <w:rsid w:val="00CB6B31"/>
    <w:rsid w:val="00CB7256"/>
    <w:rsid w:val="00CB734A"/>
    <w:rsid w:val="00CB7374"/>
    <w:rsid w:val="00CC0D8B"/>
    <w:rsid w:val="00CC19CD"/>
    <w:rsid w:val="00CC2E4D"/>
    <w:rsid w:val="00CC3B8C"/>
    <w:rsid w:val="00CC41A2"/>
    <w:rsid w:val="00CC42F3"/>
    <w:rsid w:val="00CC4433"/>
    <w:rsid w:val="00CC4BBF"/>
    <w:rsid w:val="00CC4CDC"/>
    <w:rsid w:val="00CC5362"/>
    <w:rsid w:val="00CC53BE"/>
    <w:rsid w:val="00CC5ED6"/>
    <w:rsid w:val="00CC644C"/>
    <w:rsid w:val="00CD0971"/>
    <w:rsid w:val="00CD0D7E"/>
    <w:rsid w:val="00CD0FF0"/>
    <w:rsid w:val="00CD1277"/>
    <w:rsid w:val="00CD1E2E"/>
    <w:rsid w:val="00CD2274"/>
    <w:rsid w:val="00CD2FBC"/>
    <w:rsid w:val="00CD38C6"/>
    <w:rsid w:val="00CD3909"/>
    <w:rsid w:val="00CD3C33"/>
    <w:rsid w:val="00CD3FD7"/>
    <w:rsid w:val="00CD41C7"/>
    <w:rsid w:val="00CD5315"/>
    <w:rsid w:val="00CD5C50"/>
    <w:rsid w:val="00CD6D3C"/>
    <w:rsid w:val="00CD7ABB"/>
    <w:rsid w:val="00CE1734"/>
    <w:rsid w:val="00CE215D"/>
    <w:rsid w:val="00CE2476"/>
    <w:rsid w:val="00CE2ACF"/>
    <w:rsid w:val="00CE2EA9"/>
    <w:rsid w:val="00CE352D"/>
    <w:rsid w:val="00CE381D"/>
    <w:rsid w:val="00CE3E83"/>
    <w:rsid w:val="00CE40D4"/>
    <w:rsid w:val="00CE5249"/>
    <w:rsid w:val="00CE53CF"/>
    <w:rsid w:val="00CE5818"/>
    <w:rsid w:val="00CE5ADC"/>
    <w:rsid w:val="00CE5FC8"/>
    <w:rsid w:val="00CE6338"/>
    <w:rsid w:val="00CE6DE8"/>
    <w:rsid w:val="00CE79DD"/>
    <w:rsid w:val="00CE7AA7"/>
    <w:rsid w:val="00CE7F88"/>
    <w:rsid w:val="00CF0F3E"/>
    <w:rsid w:val="00CF3147"/>
    <w:rsid w:val="00CF3414"/>
    <w:rsid w:val="00CF3AE7"/>
    <w:rsid w:val="00CF4352"/>
    <w:rsid w:val="00CF44D3"/>
    <w:rsid w:val="00CF46C4"/>
    <w:rsid w:val="00CF58E9"/>
    <w:rsid w:val="00CF5C39"/>
    <w:rsid w:val="00CF61A1"/>
    <w:rsid w:val="00CF6474"/>
    <w:rsid w:val="00CF6857"/>
    <w:rsid w:val="00CF7053"/>
    <w:rsid w:val="00CF7FCA"/>
    <w:rsid w:val="00D004A3"/>
    <w:rsid w:val="00D010BC"/>
    <w:rsid w:val="00D018E8"/>
    <w:rsid w:val="00D02247"/>
    <w:rsid w:val="00D03372"/>
    <w:rsid w:val="00D03466"/>
    <w:rsid w:val="00D0350E"/>
    <w:rsid w:val="00D03973"/>
    <w:rsid w:val="00D03BC1"/>
    <w:rsid w:val="00D051C1"/>
    <w:rsid w:val="00D05726"/>
    <w:rsid w:val="00D063E9"/>
    <w:rsid w:val="00D06F68"/>
    <w:rsid w:val="00D0726A"/>
    <w:rsid w:val="00D07899"/>
    <w:rsid w:val="00D11AB2"/>
    <w:rsid w:val="00D11E50"/>
    <w:rsid w:val="00D1224D"/>
    <w:rsid w:val="00D12941"/>
    <w:rsid w:val="00D13AFB"/>
    <w:rsid w:val="00D13D31"/>
    <w:rsid w:val="00D14F93"/>
    <w:rsid w:val="00D1509C"/>
    <w:rsid w:val="00D152E3"/>
    <w:rsid w:val="00D15F56"/>
    <w:rsid w:val="00D1601B"/>
    <w:rsid w:val="00D169C3"/>
    <w:rsid w:val="00D16BDD"/>
    <w:rsid w:val="00D16BF8"/>
    <w:rsid w:val="00D16D85"/>
    <w:rsid w:val="00D17C3C"/>
    <w:rsid w:val="00D17C66"/>
    <w:rsid w:val="00D20240"/>
    <w:rsid w:val="00D202A6"/>
    <w:rsid w:val="00D20463"/>
    <w:rsid w:val="00D20539"/>
    <w:rsid w:val="00D2090A"/>
    <w:rsid w:val="00D21B53"/>
    <w:rsid w:val="00D22166"/>
    <w:rsid w:val="00D22BB0"/>
    <w:rsid w:val="00D233C7"/>
    <w:rsid w:val="00D23A4A"/>
    <w:rsid w:val="00D259E9"/>
    <w:rsid w:val="00D25EF9"/>
    <w:rsid w:val="00D26416"/>
    <w:rsid w:val="00D26DD1"/>
    <w:rsid w:val="00D30A86"/>
    <w:rsid w:val="00D30FCB"/>
    <w:rsid w:val="00D31C2C"/>
    <w:rsid w:val="00D32371"/>
    <w:rsid w:val="00D32F29"/>
    <w:rsid w:val="00D33167"/>
    <w:rsid w:val="00D33F8C"/>
    <w:rsid w:val="00D34393"/>
    <w:rsid w:val="00D34783"/>
    <w:rsid w:val="00D34BD4"/>
    <w:rsid w:val="00D35E90"/>
    <w:rsid w:val="00D36BB5"/>
    <w:rsid w:val="00D37456"/>
    <w:rsid w:val="00D3746F"/>
    <w:rsid w:val="00D42053"/>
    <w:rsid w:val="00D43489"/>
    <w:rsid w:val="00D43E06"/>
    <w:rsid w:val="00D4655C"/>
    <w:rsid w:val="00D466AD"/>
    <w:rsid w:val="00D47BA7"/>
    <w:rsid w:val="00D47E35"/>
    <w:rsid w:val="00D5033B"/>
    <w:rsid w:val="00D50919"/>
    <w:rsid w:val="00D52077"/>
    <w:rsid w:val="00D5348B"/>
    <w:rsid w:val="00D5639E"/>
    <w:rsid w:val="00D57237"/>
    <w:rsid w:val="00D57681"/>
    <w:rsid w:val="00D57BDC"/>
    <w:rsid w:val="00D63423"/>
    <w:rsid w:val="00D640BF"/>
    <w:rsid w:val="00D646FF"/>
    <w:rsid w:val="00D6542B"/>
    <w:rsid w:val="00D65DCE"/>
    <w:rsid w:val="00D6653E"/>
    <w:rsid w:val="00D67B26"/>
    <w:rsid w:val="00D67E7F"/>
    <w:rsid w:val="00D70053"/>
    <w:rsid w:val="00D70C6F"/>
    <w:rsid w:val="00D711D5"/>
    <w:rsid w:val="00D7126C"/>
    <w:rsid w:val="00D71433"/>
    <w:rsid w:val="00D7159C"/>
    <w:rsid w:val="00D71A91"/>
    <w:rsid w:val="00D71AC8"/>
    <w:rsid w:val="00D71B5F"/>
    <w:rsid w:val="00D72044"/>
    <w:rsid w:val="00D72D5E"/>
    <w:rsid w:val="00D73FCA"/>
    <w:rsid w:val="00D743DD"/>
    <w:rsid w:val="00D74A32"/>
    <w:rsid w:val="00D74E42"/>
    <w:rsid w:val="00D75FE3"/>
    <w:rsid w:val="00D812B6"/>
    <w:rsid w:val="00D81718"/>
    <w:rsid w:val="00D81E8F"/>
    <w:rsid w:val="00D82B11"/>
    <w:rsid w:val="00D83060"/>
    <w:rsid w:val="00D840D7"/>
    <w:rsid w:val="00D84703"/>
    <w:rsid w:val="00D849F2"/>
    <w:rsid w:val="00D8508C"/>
    <w:rsid w:val="00D855B7"/>
    <w:rsid w:val="00D85940"/>
    <w:rsid w:val="00D8645F"/>
    <w:rsid w:val="00D86A02"/>
    <w:rsid w:val="00D87847"/>
    <w:rsid w:val="00D90062"/>
    <w:rsid w:val="00D90203"/>
    <w:rsid w:val="00D90AEF"/>
    <w:rsid w:val="00D90D9D"/>
    <w:rsid w:val="00D91A6E"/>
    <w:rsid w:val="00D91ED7"/>
    <w:rsid w:val="00D91FD6"/>
    <w:rsid w:val="00D927F4"/>
    <w:rsid w:val="00D92DAC"/>
    <w:rsid w:val="00D92E68"/>
    <w:rsid w:val="00D9366A"/>
    <w:rsid w:val="00D938B0"/>
    <w:rsid w:val="00D93BB5"/>
    <w:rsid w:val="00D9406F"/>
    <w:rsid w:val="00D94093"/>
    <w:rsid w:val="00D948F8"/>
    <w:rsid w:val="00D951CA"/>
    <w:rsid w:val="00D96836"/>
    <w:rsid w:val="00D974AF"/>
    <w:rsid w:val="00D979F7"/>
    <w:rsid w:val="00D97CA4"/>
    <w:rsid w:val="00DA0796"/>
    <w:rsid w:val="00DA0B7F"/>
    <w:rsid w:val="00DA1728"/>
    <w:rsid w:val="00DA20FE"/>
    <w:rsid w:val="00DA2A3E"/>
    <w:rsid w:val="00DA2F3B"/>
    <w:rsid w:val="00DA3DA6"/>
    <w:rsid w:val="00DA3EDD"/>
    <w:rsid w:val="00DA451D"/>
    <w:rsid w:val="00DA4999"/>
    <w:rsid w:val="00DA4C0A"/>
    <w:rsid w:val="00DA5376"/>
    <w:rsid w:val="00DA57B2"/>
    <w:rsid w:val="00DA57E3"/>
    <w:rsid w:val="00DA58AE"/>
    <w:rsid w:val="00DA5913"/>
    <w:rsid w:val="00DA6A1F"/>
    <w:rsid w:val="00DA6D9E"/>
    <w:rsid w:val="00DB085B"/>
    <w:rsid w:val="00DB0F67"/>
    <w:rsid w:val="00DB17AA"/>
    <w:rsid w:val="00DB1C3B"/>
    <w:rsid w:val="00DB24F2"/>
    <w:rsid w:val="00DB3FAD"/>
    <w:rsid w:val="00DB442B"/>
    <w:rsid w:val="00DB4F77"/>
    <w:rsid w:val="00DB5205"/>
    <w:rsid w:val="00DB641F"/>
    <w:rsid w:val="00DB6EBC"/>
    <w:rsid w:val="00DC051F"/>
    <w:rsid w:val="00DC3150"/>
    <w:rsid w:val="00DC3BD8"/>
    <w:rsid w:val="00DC3D97"/>
    <w:rsid w:val="00DC4B0D"/>
    <w:rsid w:val="00DC4F30"/>
    <w:rsid w:val="00DC5212"/>
    <w:rsid w:val="00DC550A"/>
    <w:rsid w:val="00DC6059"/>
    <w:rsid w:val="00DD0323"/>
    <w:rsid w:val="00DD0616"/>
    <w:rsid w:val="00DD0C90"/>
    <w:rsid w:val="00DD0F00"/>
    <w:rsid w:val="00DD1B62"/>
    <w:rsid w:val="00DD1FFA"/>
    <w:rsid w:val="00DD2402"/>
    <w:rsid w:val="00DD3049"/>
    <w:rsid w:val="00DD442D"/>
    <w:rsid w:val="00DD555A"/>
    <w:rsid w:val="00DD64A2"/>
    <w:rsid w:val="00DD7620"/>
    <w:rsid w:val="00DD76FE"/>
    <w:rsid w:val="00DD7778"/>
    <w:rsid w:val="00DD7D12"/>
    <w:rsid w:val="00DD7DAB"/>
    <w:rsid w:val="00DD7FD5"/>
    <w:rsid w:val="00DE16CF"/>
    <w:rsid w:val="00DE18AD"/>
    <w:rsid w:val="00DE22F2"/>
    <w:rsid w:val="00DE234B"/>
    <w:rsid w:val="00DE2956"/>
    <w:rsid w:val="00DE2E1B"/>
    <w:rsid w:val="00DE39D8"/>
    <w:rsid w:val="00DE598B"/>
    <w:rsid w:val="00DE737B"/>
    <w:rsid w:val="00DE772D"/>
    <w:rsid w:val="00DE7C84"/>
    <w:rsid w:val="00DE7EED"/>
    <w:rsid w:val="00DF05F3"/>
    <w:rsid w:val="00DF07BF"/>
    <w:rsid w:val="00DF0B27"/>
    <w:rsid w:val="00DF1ECF"/>
    <w:rsid w:val="00DF2C35"/>
    <w:rsid w:val="00DF3094"/>
    <w:rsid w:val="00DF3274"/>
    <w:rsid w:val="00DF37C5"/>
    <w:rsid w:val="00DF4B97"/>
    <w:rsid w:val="00DF5C59"/>
    <w:rsid w:val="00DF5FE2"/>
    <w:rsid w:val="00DF6D87"/>
    <w:rsid w:val="00DF707C"/>
    <w:rsid w:val="00DF71BB"/>
    <w:rsid w:val="00DF7A8E"/>
    <w:rsid w:val="00E014C4"/>
    <w:rsid w:val="00E01AC8"/>
    <w:rsid w:val="00E024C8"/>
    <w:rsid w:val="00E02ADD"/>
    <w:rsid w:val="00E02EEA"/>
    <w:rsid w:val="00E02FDA"/>
    <w:rsid w:val="00E0304E"/>
    <w:rsid w:val="00E03667"/>
    <w:rsid w:val="00E102B7"/>
    <w:rsid w:val="00E10380"/>
    <w:rsid w:val="00E1040D"/>
    <w:rsid w:val="00E10538"/>
    <w:rsid w:val="00E10CC9"/>
    <w:rsid w:val="00E11F7F"/>
    <w:rsid w:val="00E122BD"/>
    <w:rsid w:val="00E1250B"/>
    <w:rsid w:val="00E12873"/>
    <w:rsid w:val="00E12B26"/>
    <w:rsid w:val="00E12D9C"/>
    <w:rsid w:val="00E13D03"/>
    <w:rsid w:val="00E1423C"/>
    <w:rsid w:val="00E1545A"/>
    <w:rsid w:val="00E160EF"/>
    <w:rsid w:val="00E16119"/>
    <w:rsid w:val="00E16E05"/>
    <w:rsid w:val="00E1760D"/>
    <w:rsid w:val="00E17829"/>
    <w:rsid w:val="00E179E1"/>
    <w:rsid w:val="00E20500"/>
    <w:rsid w:val="00E210E9"/>
    <w:rsid w:val="00E21201"/>
    <w:rsid w:val="00E217F4"/>
    <w:rsid w:val="00E21887"/>
    <w:rsid w:val="00E22A68"/>
    <w:rsid w:val="00E2342C"/>
    <w:rsid w:val="00E23EBE"/>
    <w:rsid w:val="00E249E4"/>
    <w:rsid w:val="00E24F92"/>
    <w:rsid w:val="00E25529"/>
    <w:rsid w:val="00E255FC"/>
    <w:rsid w:val="00E25600"/>
    <w:rsid w:val="00E262EC"/>
    <w:rsid w:val="00E268A7"/>
    <w:rsid w:val="00E308C5"/>
    <w:rsid w:val="00E31617"/>
    <w:rsid w:val="00E32211"/>
    <w:rsid w:val="00E32B74"/>
    <w:rsid w:val="00E3356D"/>
    <w:rsid w:val="00E33F65"/>
    <w:rsid w:val="00E34598"/>
    <w:rsid w:val="00E3498D"/>
    <w:rsid w:val="00E34A7E"/>
    <w:rsid w:val="00E350E4"/>
    <w:rsid w:val="00E36F8C"/>
    <w:rsid w:val="00E374CD"/>
    <w:rsid w:val="00E400C8"/>
    <w:rsid w:val="00E406D1"/>
    <w:rsid w:val="00E40D4E"/>
    <w:rsid w:val="00E40DC9"/>
    <w:rsid w:val="00E41377"/>
    <w:rsid w:val="00E41512"/>
    <w:rsid w:val="00E4222B"/>
    <w:rsid w:val="00E42370"/>
    <w:rsid w:val="00E42E9E"/>
    <w:rsid w:val="00E437A4"/>
    <w:rsid w:val="00E43ECC"/>
    <w:rsid w:val="00E445F6"/>
    <w:rsid w:val="00E47105"/>
    <w:rsid w:val="00E47F7F"/>
    <w:rsid w:val="00E51636"/>
    <w:rsid w:val="00E52FEF"/>
    <w:rsid w:val="00E540B6"/>
    <w:rsid w:val="00E54201"/>
    <w:rsid w:val="00E546CD"/>
    <w:rsid w:val="00E577F8"/>
    <w:rsid w:val="00E57D38"/>
    <w:rsid w:val="00E57E08"/>
    <w:rsid w:val="00E62C9F"/>
    <w:rsid w:val="00E62F98"/>
    <w:rsid w:val="00E630AD"/>
    <w:rsid w:val="00E632E6"/>
    <w:rsid w:val="00E6356B"/>
    <w:rsid w:val="00E6397E"/>
    <w:rsid w:val="00E64370"/>
    <w:rsid w:val="00E6453C"/>
    <w:rsid w:val="00E649E4"/>
    <w:rsid w:val="00E64CC7"/>
    <w:rsid w:val="00E64D94"/>
    <w:rsid w:val="00E65149"/>
    <w:rsid w:val="00E679DC"/>
    <w:rsid w:val="00E67A91"/>
    <w:rsid w:val="00E67C11"/>
    <w:rsid w:val="00E706F5"/>
    <w:rsid w:val="00E71416"/>
    <w:rsid w:val="00E7182E"/>
    <w:rsid w:val="00E71F7E"/>
    <w:rsid w:val="00E720A2"/>
    <w:rsid w:val="00E72862"/>
    <w:rsid w:val="00E746BF"/>
    <w:rsid w:val="00E74B23"/>
    <w:rsid w:val="00E75A12"/>
    <w:rsid w:val="00E75AF9"/>
    <w:rsid w:val="00E75B1D"/>
    <w:rsid w:val="00E75D79"/>
    <w:rsid w:val="00E75E51"/>
    <w:rsid w:val="00E76A13"/>
    <w:rsid w:val="00E77157"/>
    <w:rsid w:val="00E771D7"/>
    <w:rsid w:val="00E77DA6"/>
    <w:rsid w:val="00E77DFE"/>
    <w:rsid w:val="00E8004E"/>
    <w:rsid w:val="00E800D2"/>
    <w:rsid w:val="00E80535"/>
    <w:rsid w:val="00E8133F"/>
    <w:rsid w:val="00E81E1B"/>
    <w:rsid w:val="00E81E98"/>
    <w:rsid w:val="00E847C6"/>
    <w:rsid w:val="00E862B6"/>
    <w:rsid w:val="00E876C7"/>
    <w:rsid w:val="00E87D1C"/>
    <w:rsid w:val="00E9132A"/>
    <w:rsid w:val="00E921BC"/>
    <w:rsid w:val="00E93FB4"/>
    <w:rsid w:val="00E95246"/>
    <w:rsid w:val="00E96A2A"/>
    <w:rsid w:val="00E97269"/>
    <w:rsid w:val="00E97B05"/>
    <w:rsid w:val="00EA0389"/>
    <w:rsid w:val="00EA0882"/>
    <w:rsid w:val="00EA0F0C"/>
    <w:rsid w:val="00EA1063"/>
    <w:rsid w:val="00EA19D1"/>
    <w:rsid w:val="00EA1ADF"/>
    <w:rsid w:val="00EA1D15"/>
    <w:rsid w:val="00EA20AF"/>
    <w:rsid w:val="00EA24AB"/>
    <w:rsid w:val="00EA2EAC"/>
    <w:rsid w:val="00EA34BC"/>
    <w:rsid w:val="00EA36F2"/>
    <w:rsid w:val="00EA4363"/>
    <w:rsid w:val="00EA4449"/>
    <w:rsid w:val="00EA446F"/>
    <w:rsid w:val="00EA6426"/>
    <w:rsid w:val="00EA6BAA"/>
    <w:rsid w:val="00EB1081"/>
    <w:rsid w:val="00EB259F"/>
    <w:rsid w:val="00EB2819"/>
    <w:rsid w:val="00EB2AFF"/>
    <w:rsid w:val="00EB345E"/>
    <w:rsid w:val="00EB4520"/>
    <w:rsid w:val="00EB55A2"/>
    <w:rsid w:val="00EB6676"/>
    <w:rsid w:val="00EB7EA8"/>
    <w:rsid w:val="00EC00C1"/>
    <w:rsid w:val="00EC0C3F"/>
    <w:rsid w:val="00EC2515"/>
    <w:rsid w:val="00EC34D8"/>
    <w:rsid w:val="00EC369E"/>
    <w:rsid w:val="00EC4A10"/>
    <w:rsid w:val="00EC4D8A"/>
    <w:rsid w:val="00EC55CE"/>
    <w:rsid w:val="00EC5C76"/>
    <w:rsid w:val="00EC6613"/>
    <w:rsid w:val="00EC6E9F"/>
    <w:rsid w:val="00EC76E1"/>
    <w:rsid w:val="00EC7ADB"/>
    <w:rsid w:val="00ED124D"/>
    <w:rsid w:val="00ED13A9"/>
    <w:rsid w:val="00ED15FC"/>
    <w:rsid w:val="00ED31C1"/>
    <w:rsid w:val="00ED3F1C"/>
    <w:rsid w:val="00ED4720"/>
    <w:rsid w:val="00ED4F11"/>
    <w:rsid w:val="00ED56CF"/>
    <w:rsid w:val="00ED5E86"/>
    <w:rsid w:val="00ED616E"/>
    <w:rsid w:val="00ED61C1"/>
    <w:rsid w:val="00ED73AF"/>
    <w:rsid w:val="00ED77F7"/>
    <w:rsid w:val="00EE0172"/>
    <w:rsid w:val="00EE2FB2"/>
    <w:rsid w:val="00EE39E0"/>
    <w:rsid w:val="00EE5B50"/>
    <w:rsid w:val="00EE754D"/>
    <w:rsid w:val="00EE7621"/>
    <w:rsid w:val="00EE76CB"/>
    <w:rsid w:val="00EE7AAA"/>
    <w:rsid w:val="00EF09B9"/>
    <w:rsid w:val="00EF115A"/>
    <w:rsid w:val="00EF191E"/>
    <w:rsid w:val="00EF20DD"/>
    <w:rsid w:val="00EF22D2"/>
    <w:rsid w:val="00EF4081"/>
    <w:rsid w:val="00EF470C"/>
    <w:rsid w:val="00EF550F"/>
    <w:rsid w:val="00EF64A0"/>
    <w:rsid w:val="00EF6B4E"/>
    <w:rsid w:val="00EF6DC4"/>
    <w:rsid w:val="00EF76F1"/>
    <w:rsid w:val="00EF78A7"/>
    <w:rsid w:val="00F00307"/>
    <w:rsid w:val="00F00B5B"/>
    <w:rsid w:val="00F00C96"/>
    <w:rsid w:val="00F01524"/>
    <w:rsid w:val="00F02458"/>
    <w:rsid w:val="00F02606"/>
    <w:rsid w:val="00F029A5"/>
    <w:rsid w:val="00F02FE3"/>
    <w:rsid w:val="00F03282"/>
    <w:rsid w:val="00F04464"/>
    <w:rsid w:val="00F06CD2"/>
    <w:rsid w:val="00F0760D"/>
    <w:rsid w:val="00F1002F"/>
    <w:rsid w:val="00F1093B"/>
    <w:rsid w:val="00F12C80"/>
    <w:rsid w:val="00F12DB7"/>
    <w:rsid w:val="00F1492D"/>
    <w:rsid w:val="00F166AD"/>
    <w:rsid w:val="00F1773E"/>
    <w:rsid w:val="00F20041"/>
    <w:rsid w:val="00F20569"/>
    <w:rsid w:val="00F20F4A"/>
    <w:rsid w:val="00F21181"/>
    <w:rsid w:val="00F221FD"/>
    <w:rsid w:val="00F22BEC"/>
    <w:rsid w:val="00F2327C"/>
    <w:rsid w:val="00F23C5F"/>
    <w:rsid w:val="00F23C85"/>
    <w:rsid w:val="00F247BE"/>
    <w:rsid w:val="00F24F63"/>
    <w:rsid w:val="00F251EC"/>
    <w:rsid w:val="00F253E6"/>
    <w:rsid w:val="00F25711"/>
    <w:rsid w:val="00F26571"/>
    <w:rsid w:val="00F26B88"/>
    <w:rsid w:val="00F27DDA"/>
    <w:rsid w:val="00F30067"/>
    <w:rsid w:val="00F314E0"/>
    <w:rsid w:val="00F339AF"/>
    <w:rsid w:val="00F34326"/>
    <w:rsid w:val="00F347AE"/>
    <w:rsid w:val="00F3686D"/>
    <w:rsid w:val="00F36B05"/>
    <w:rsid w:val="00F36F50"/>
    <w:rsid w:val="00F3718F"/>
    <w:rsid w:val="00F37412"/>
    <w:rsid w:val="00F4009B"/>
    <w:rsid w:val="00F41187"/>
    <w:rsid w:val="00F41951"/>
    <w:rsid w:val="00F41C68"/>
    <w:rsid w:val="00F43741"/>
    <w:rsid w:val="00F502FB"/>
    <w:rsid w:val="00F5054A"/>
    <w:rsid w:val="00F50DF5"/>
    <w:rsid w:val="00F515E4"/>
    <w:rsid w:val="00F5293C"/>
    <w:rsid w:val="00F536BD"/>
    <w:rsid w:val="00F537B0"/>
    <w:rsid w:val="00F537F4"/>
    <w:rsid w:val="00F53E60"/>
    <w:rsid w:val="00F53F1F"/>
    <w:rsid w:val="00F5480D"/>
    <w:rsid w:val="00F54CD3"/>
    <w:rsid w:val="00F55A4E"/>
    <w:rsid w:val="00F57138"/>
    <w:rsid w:val="00F57330"/>
    <w:rsid w:val="00F604BB"/>
    <w:rsid w:val="00F6090C"/>
    <w:rsid w:val="00F610AE"/>
    <w:rsid w:val="00F61D4D"/>
    <w:rsid w:val="00F62DC4"/>
    <w:rsid w:val="00F63E07"/>
    <w:rsid w:val="00F645AB"/>
    <w:rsid w:val="00F65612"/>
    <w:rsid w:val="00F65936"/>
    <w:rsid w:val="00F67161"/>
    <w:rsid w:val="00F67821"/>
    <w:rsid w:val="00F6798D"/>
    <w:rsid w:val="00F7017E"/>
    <w:rsid w:val="00F70711"/>
    <w:rsid w:val="00F709FA"/>
    <w:rsid w:val="00F70C2B"/>
    <w:rsid w:val="00F70D90"/>
    <w:rsid w:val="00F72049"/>
    <w:rsid w:val="00F7231A"/>
    <w:rsid w:val="00F739F2"/>
    <w:rsid w:val="00F741F7"/>
    <w:rsid w:val="00F74B3B"/>
    <w:rsid w:val="00F75047"/>
    <w:rsid w:val="00F750D3"/>
    <w:rsid w:val="00F75AC4"/>
    <w:rsid w:val="00F75D7A"/>
    <w:rsid w:val="00F7697D"/>
    <w:rsid w:val="00F77708"/>
    <w:rsid w:val="00F8088D"/>
    <w:rsid w:val="00F80F9E"/>
    <w:rsid w:val="00F81334"/>
    <w:rsid w:val="00F826B9"/>
    <w:rsid w:val="00F82E86"/>
    <w:rsid w:val="00F83108"/>
    <w:rsid w:val="00F83E13"/>
    <w:rsid w:val="00F83F00"/>
    <w:rsid w:val="00F84E35"/>
    <w:rsid w:val="00F85A82"/>
    <w:rsid w:val="00F8686E"/>
    <w:rsid w:val="00F8693B"/>
    <w:rsid w:val="00F87ABE"/>
    <w:rsid w:val="00F87DD9"/>
    <w:rsid w:val="00F900D4"/>
    <w:rsid w:val="00F90E68"/>
    <w:rsid w:val="00F90F22"/>
    <w:rsid w:val="00F911E0"/>
    <w:rsid w:val="00F920E4"/>
    <w:rsid w:val="00F92F4F"/>
    <w:rsid w:val="00F956D4"/>
    <w:rsid w:val="00F970E6"/>
    <w:rsid w:val="00F974F2"/>
    <w:rsid w:val="00F97B78"/>
    <w:rsid w:val="00FA00AF"/>
    <w:rsid w:val="00FA10CC"/>
    <w:rsid w:val="00FA12E2"/>
    <w:rsid w:val="00FA1B02"/>
    <w:rsid w:val="00FA1F78"/>
    <w:rsid w:val="00FA2348"/>
    <w:rsid w:val="00FA2FFE"/>
    <w:rsid w:val="00FA411E"/>
    <w:rsid w:val="00FA4171"/>
    <w:rsid w:val="00FA4981"/>
    <w:rsid w:val="00FA4B39"/>
    <w:rsid w:val="00FA4CA7"/>
    <w:rsid w:val="00FA522E"/>
    <w:rsid w:val="00FA53B9"/>
    <w:rsid w:val="00FA56D1"/>
    <w:rsid w:val="00FB000D"/>
    <w:rsid w:val="00FB00E8"/>
    <w:rsid w:val="00FB05E8"/>
    <w:rsid w:val="00FB0AB2"/>
    <w:rsid w:val="00FB1E50"/>
    <w:rsid w:val="00FB2124"/>
    <w:rsid w:val="00FB2272"/>
    <w:rsid w:val="00FB2347"/>
    <w:rsid w:val="00FB29D7"/>
    <w:rsid w:val="00FB4444"/>
    <w:rsid w:val="00FB4E44"/>
    <w:rsid w:val="00FB58A9"/>
    <w:rsid w:val="00FB59C8"/>
    <w:rsid w:val="00FB5A2D"/>
    <w:rsid w:val="00FB692C"/>
    <w:rsid w:val="00FB72A8"/>
    <w:rsid w:val="00FC0F6B"/>
    <w:rsid w:val="00FC1391"/>
    <w:rsid w:val="00FC1563"/>
    <w:rsid w:val="00FC216D"/>
    <w:rsid w:val="00FC217F"/>
    <w:rsid w:val="00FC2922"/>
    <w:rsid w:val="00FC31E2"/>
    <w:rsid w:val="00FC395F"/>
    <w:rsid w:val="00FC3DD1"/>
    <w:rsid w:val="00FC4EA4"/>
    <w:rsid w:val="00FC4F38"/>
    <w:rsid w:val="00FC5051"/>
    <w:rsid w:val="00FC597D"/>
    <w:rsid w:val="00FC60DB"/>
    <w:rsid w:val="00FC650C"/>
    <w:rsid w:val="00FC6A31"/>
    <w:rsid w:val="00FC7568"/>
    <w:rsid w:val="00FD07D8"/>
    <w:rsid w:val="00FD11CA"/>
    <w:rsid w:val="00FD1F38"/>
    <w:rsid w:val="00FD25BC"/>
    <w:rsid w:val="00FD7AA1"/>
    <w:rsid w:val="00FE075E"/>
    <w:rsid w:val="00FE0D91"/>
    <w:rsid w:val="00FE1751"/>
    <w:rsid w:val="00FE2E4B"/>
    <w:rsid w:val="00FE3000"/>
    <w:rsid w:val="00FE37F0"/>
    <w:rsid w:val="00FE3893"/>
    <w:rsid w:val="00FE51AE"/>
    <w:rsid w:val="00FE6690"/>
    <w:rsid w:val="00FE6EFA"/>
    <w:rsid w:val="00FE7479"/>
    <w:rsid w:val="00FE7BF2"/>
    <w:rsid w:val="00FF01B8"/>
    <w:rsid w:val="00FF0F12"/>
    <w:rsid w:val="00FF144D"/>
    <w:rsid w:val="00FF2D47"/>
    <w:rsid w:val="00FF4C84"/>
    <w:rsid w:val="00FF4EBB"/>
    <w:rsid w:val="00FF500B"/>
    <w:rsid w:val="00FF5422"/>
    <w:rsid w:val="00FF5645"/>
    <w:rsid w:val="00FF5A39"/>
    <w:rsid w:val="00FF72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97"/>
  </w:style>
  <w:style w:type="paragraph" w:styleId="Heading1">
    <w:name w:val="heading 1"/>
    <w:basedOn w:val="Normal"/>
    <w:next w:val="Normal"/>
    <w:link w:val="Heading1Char"/>
    <w:uiPriority w:val="9"/>
    <w:qFormat/>
    <w:rsid w:val="00F81334"/>
    <w:pPr>
      <w:keepNext/>
      <w:keepLines/>
      <w:spacing w:before="240" w:after="240"/>
      <w:outlineLvl w:val="0"/>
    </w:pPr>
    <w:rPr>
      <w:rFonts w:eastAsiaTheme="majorEastAsia" w:cstheme="majorBidi"/>
      <w:b/>
      <w:bCs/>
      <w:caps/>
      <w:color w:val="244061" w:themeColor="accent1" w:themeShade="80"/>
      <w:sz w:val="28"/>
      <w:szCs w:val="28"/>
    </w:rPr>
  </w:style>
  <w:style w:type="paragraph" w:styleId="Heading2">
    <w:name w:val="heading 2"/>
    <w:basedOn w:val="Normal"/>
    <w:next w:val="Normal"/>
    <w:link w:val="Heading2Char"/>
    <w:uiPriority w:val="9"/>
    <w:unhideWhenUsed/>
    <w:qFormat/>
    <w:rsid w:val="006C61E1"/>
    <w:pPr>
      <w:keepNext/>
      <w:keepLines/>
      <w:spacing w:before="200" w:after="240"/>
      <w:outlineLvl w:val="1"/>
    </w:pPr>
    <w:rPr>
      <w:rFonts w:eastAsiaTheme="majorEastAsia" w:cstheme="majorBidi"/>
      <w:b/>
      <w:bCs/>
      <w:color w:val="215868" w:themeColor="accent5" w:themeShade="80"/>
      <w:sz w:val="26"/>
      <w:szCs w:val="26"/>
    </w:rPr>
  </w:style>
  <w:style w:type="paragraph" w:styleId="Heading3">
    <w:name w:val="heading 3"/>
    <w:basedOn w:val="Normal"/>
    <w:next w:val="Normal"/>
    <w:link w:val="Heading3Char"/>
    <w:uiPriority w:val="9"/>
    <w:unhideWhenUsed/>
    <w:qFormat/>
    <w:rsid w:val="00CB4820"/>
    <w:pPr>
      <w:spacing w:before="120" w:after="120"/>
      <w:outlineLvl w:val="2"/>
    </w:pPr>
    <w:rPr>
      <w:rFonts w:eastAsiaTheme="majorEastAsia" w:cstheme="majorBidi"/>
      <w:b/>
      <w:bCs/>
      <w:i/>
      <w:color w:val="31849B" w:themeColor="accent5" w:themeShade="BF"/>
      <w:sz w:val="24"/>
      <w:szCs w:val="24"/>
    </w:rPr>
  </w:style>
  <w:style w:type="paragraph" w:styleId="Heading4">
    <w:name w:val="heading 4"/>
    <w:basedOn w:val="Normal"/>
    <w:next w:val="Normal"/>
    <w:link w:val="Heading4Char"/>
    <w:uiPriority w:val="9"/>
    <w:unhideWhenUsed/>
    <w:qFormat/>
    <w:rsid w:val="00CB4820"/>
    <w:pPr>
      <w:keepNext/>
      <w:keepLines/>
      <w:spacing w:before="200" w:after="240"/>
      <w:outlineLvl w:val="3"/>
    </w:pPr>
    <w:rPr>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334"/>
    <w:rPr>
      <w:rFonts w:eastAsiaTheme="majorEastAsia" w:cstheme="majorBidi"/>
      <w:b/>
      <w:bCs/>
      <w:caps/>
      <w:color w:val="244061" w:themeColor="accent1" w:themeShade="80"/>
      <w:sz w:val="28"/>
      <w:szCs w:val="28"/>
    </w:rPr>
  </w:style>
  <w:style w:type="paragraph" w:styleId="TOCHeading">
    <w:name w:val="TOC Heading"/>
    <w:basedOn w:val="Heading1"/>
    <w:next w:val="Normal"/>
    <w:uiPriority w:val="39"/>
    <w:unhideWhenUsed/>
    <w:qFormat/>
    <w:rsid w:val="003740E8"/>
    <w:pPr>
      <w:outlineLvl w:val="9"/>
    </w:pPr>
    <w:rPr>
      <w:lang w:val="en-US" w:eastAsia="ja-JP"/>
    </w:rPr>
  </w:style>
  <w:style w:type="paragraph" w:styleId="BalloonText">
    <w:name w:val="Balloon Text"/>
    <w:basedOn w:val="Normal"/>
    <w:link w:val="BalloonTextChar"/>
    <w:uiPriority w:val="99"/>
    <w:semiHidden/>
    <w:unhideWhenUsed/>
    <w:rsid w:val="0037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E8"/>
    <w:rPr>
      <w:rFonts w:ascii="Tahoma" w:hAnsi="Tahoma" w:cs="Tahoma"/>
      <w:sz w:val="16"/>
      <w:szCs w:val="16"/>
    </w:rPr>
  </w:style>
  <w:style w:type="paragraph" w:styleId="TOC1">
    <w:name w:val="toc 1"/>
    <w:basedOn w:val="Normal"/>
    <w:next w:val="Normal"/>
    <w:autoRedefine/>
    <w:uiPriority w:val="39"/>
    <w:unhideWhenUsed/>
    <w:qFormat/>
    <w:rsid w:val="004D47F5"/>
    <w:pPr>
      <w:tabs>
        <w:tab w:val="right" w:pos="9350"/>
      </w:tabs>
      <w:spacing w:before="360" w:after="0"/>
    </w:pPr>
    <w:rPr>
      <w:bCs/>
      <w:caps/>
      <w:color w:val="244061" w:themeColor="accent1" w:themeShade="80"/>
      <w:sz w:val="28"/>
      <w:szCs w:val="24"/>
    </w:rPr>
  </w:style>
  <w:style w:type="character" w:styleId="Hyperlink">
    <w:name w:val="Hyperlink"/>
    <w:basedOn w:val="DefaultParagraphFont"/>
    <w:uiPriority w:val="99"/>
    <w:unhideWhenUsed/>
    <w:rsid w:val="003740E8"/>
    <w:rPr>
      <w:color w:val="0000FF" w:themeColor="hyperlink"/>
      <w:u w:val="single"/>
    </w:rPr>
  </w:style>
  <w:style w:type="table" w:styleId="TableGrid">
    <w:name w:val="Table Grid"/>
    <w:basedOn w:val="TableNormal"/>
    <w:uiPriority w:val="59"/>
    <w:rsid w:val="00CA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58A4"/>
    <w:rPr>
      <w:sz w:val="16"/>
      <w:szCs w:val="16"/>
    </w:rPr>
  </w:style>
  <w:style w:type="paragraph" w:styleId="CommentText">
    <w:name w:val="annotation text"/>
    <w:basedOn w:val="Normal"/>
    <w:link w:val="CommentTextChar"/>
    <w:uiPriority w:val="99"/>
    <w:unhideWhenUsed/>
    <w:rsid w:val="006F58A4"/>
    <w:pPr>
      <w:spacing w:line="240" w:lineRule="auto"/>
    </w:pPr>
    <w:rPr>
      <w:sz w:val="20"/>
      <w:szCs w:val="20"/>
    </w:rPr>
  </w:style>
  <w:style w:type="character" w:customStyle="1" w:styleId="CommentTextChar">
    <w:name w:val="Comment Text Char"/>
    <w:basedOn w:val="DefaultParagraphFont"/>
    <w:link w:val="CommentText"/>
    <w:uiPriority w:val="99"/>
    <w:rsid w:val="006F58A4"/>
    <w:rPr>
      <w:sz w:val="20"/>
      <w:szCs w:val="20"/>
    </w:rPr>
  </w:style>
  <w:style w:type="paragraph" w:styleId="CommentSubject">
    <w:name w:val="annotation subject"/>
    <w:basedOn w:val="CommentText"/>
    <w:next w:val="CommentText"/>
    <w:link w:val="CommentSubjectChar"/>
    <w:uiPriority w:val="99"/>
    <w:semiHidden/>
    <w:unhideWhenUsed/>
    <w:rsid w:val="006F58A4"/>
    <w:rPr>
      <w:b/>
      <w:bCs/>
    </w:rPr>
  </w:style>
  <w:style w:type="character" w:customStyle="1" w:styleId="CommentSubjectChar">
    <w:name w:val="Comment Subject Char"/>
    <w:basedOn w:val="CommentTextChar"/>
    <w:link w:val="CommentSubject"/>
    <w:uiPriority w:val="99"/>
    <w:semiHidden/>
    <w:rsid w:val="006F58A4"/>
    <w:rPr>
      <w:b/>
      <w:bCs/>
      <w:sz w:val="20"/>
      <w:szCs w:val="20"/>
    </w:rPr>
  </w:style>
  <w:style w:type="character" w:customStyle="1" w:styleId="Heading2Char">
    <w:name w:val="Heading 2 Char"/>
    <w:basedOn w:val="DefaultParagraphFont"/>
    <w:link w:val="Heading2"/>
    <w:uiPriority w:val="9"/>
    <w:rsid w:val="006C61E1"/>
    <w:rPr>
      <w:rFonts w:eastAsiaTheme="majorEastAsia" w:cstheme="majorBidi"/>
      <w:b/>
      <w:bCs/>
      <w:color w:val="215868" w:themeColor="accent5" w:themeShade="80"/>
      <w:sz w:val="26"/>
      <w:szCs w:val="26"/>
    </w:rPr>
  </w:style>
  <w:style w:type="paragraph" w:styleId="TOC2">
    <w:name w:val="toc 2"/>
    <w:basedOn w:val="Heading2"/>
    <w:next w:val="Normal"/>
    <w:autoRedefine/>
    <w:uiPriority w:val="39"/>
    <w:unhideWhenUsed/>
    <w:qFormat/>
    <w:rsid w:val="00540373"/>
    <w:pPr>
      <w:tabs>
        <w:tab w:val="right" w:pos="9350"/>
      </w:tabs>
      <w:spacing w:before="240" w:after="120"/>
      <w:ind w:left="227"/>
    </w:pPr>
    <w:rPr>
      <w:rFonts w:cstheme="minorHAnsi"/>
      <w:bCs w:val="0"/>
      <w:noProof/>
      <w:color w:val="auto"/>
      <w:sz w:val="24"/>
      <w:szCs w:val="20"/>
    </w:rPr>
  </w:style>
  <w:style w:type="paragraph" w:styleId="ListParagraph">
    <w:name w:val="List Paragraph"/>
    <w:basedOn w:val="Normal"/>
    <w:uiPriority w:val="34"/>
    <w:qFormat/>
    <w:rsid w:val="00FE6EFA"/>
    <w:pPr>
      <w:ind w:left="720"/>
      <w:contextualSpacing/>
    </w:pPr>
  </w:style>
  <w:style w:type="character" w:customStyle="1" w:styleId="Heading3Char">
    <w:name w:val="Heading 3 Char"/>
    <w:basedOn w:val="DefaultParagraphFont"/>
    <w:link w:val="Heading3"/>
    <w:uiPriority w:val="9"/>
    <w:rsid w:val="00CB4820"/>
    <w:rPr>
      <w:rFonts w:eastAsiaTheme="majorEastAsia" w:cstheme="majorBidi"/>
      <w:b/>
      <w:bCs/>
      <w:i/>
      <w:color w:val="31849B" w:themeColor="accent5" w:themeShade="BF"/>
      <w:sz w:val="24"/>
      <w:szCs w:val="24"/>
    </w:rPr>
  </w:style>
  <w:style w:type="paragraph" w:styleId="TOC3">
    <w:name w:val="toc 3"/>
    <w:basedOn w:val="Normal"/>
    <w:next w:val="Normal"/>
    <w:autoRedefine/>
    <w:uiPriority w:val="39"/>
    <w:unhideWhenUsed/>
    <w:qFormat/>
    <w:rsid w:val="004D47F5"/>
    <w:pPr>
      <w:spacing w:after="0"/>
      <w:ind w:left="454"/>
    </w:pPr>
    <w:rPr>
      <w:rFonts w:cstheme="minorHAnsi"/>
      <w:szCs w:val="20"/>
    </w:rPr>
  </w:style>
  <w:style w:type="paragraph" w:styleId="Header">
    <w:name w:val="header"/>
    <w:basedOn w:val="Normal"/>
    <w:link w:val="HeaderChar"/>
    <w:uiPriority w:val="99"/>
    <w:unhideWhenUsed/>
    <w:rsid w:val="009E5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18"/>
  </w:style>
  <w:style w:type="paragraph" w:styleId="Footer">
    <w:name w:val="footer"/>
    <w:basedOn w:val="Normal"/>
    <w:link w:val="FooterChar"/>
    <w:uiPriority w:val="99"/>
    <w:unhideWhenUsed/>
    <w:rsid w:val="009E5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18"/>
  </w:style>
  <w:style w:type="table" w:customStyle="1" w:styleId="LightGrid-Accent11">
    <w:name w:val="Light Grid - Accent 11"/>
    <w:basedOn w:val="TableNormal"/>
    <w:uiPriority w:val="62"/>
    <w:rsid w:val="00CD1E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C9386C"/>
    <w:rPr>
      <w:b/>
      <w:bCs/>
    </w:rPr>
  </w:style>
  <w:style w:type="paragraph" w:styleId="Bibliography">
    <w:name w:val="Bibliography"/>
    <w:basedOn w:val="Normal"/>
    <w:next w:val="Normal"/>
    <w:uiPriority w:val="37"/>
    <w:unhideWhenUsed/>
    <w:rsid w:val="00026B29"/>
  </w:style>
  <w:style w:type="character" w:styleId="FollowedHyperlink">
    <w:name w:val="FollowedHyperlink"/>
    <w:basedOn w:val="DefaultParagraphFont"/>
    <w:uiPriority w:val="99"/>
    <w:semiHidden/>
    <w:unhideWhenUsed/>
    <w:rsid w:val="00554FB8"/>
    <w:rPr>
      <w:color w:val="800080" w:themeColor="followedHyperlink"/>
      <w:u w:val="single"/>
    </w:rPr>
  </w:style>
  <w:style w:type="paragraph" w:styleId="FootnoteText">
    <w:name w:val="footnote text"/>
    <w:basedOn w:val="Normal"/>
    <w:link w:val="FootnoteTextChar"/>
    <w:uiPriority w:val="99"/>
    <w:semiHidden/>
    <w:unhideWhenUsed/>
    <w:rsid w:val="00711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D55"/>
    <w:rPr>
      <w:sz w:val="20"/>
      <w:szCs w:val="20"/>
    </w:rPr>
  </w:style>
  <w:style w:type="character" w:styleId="FootnoteReference">
    <w:name w:val="footnote reference"/>
    <w:basedOn w:val="DefaultParagraphFont"/>
    <w:uiPriority w:val="99"/>
    <w:semiHidden/>
    <w:unhideWhenUsed/>
    <w:rsid w:val="00711D55"/>
    <w:rPr>
      <w:vertAlign w:val="superscript"/>
    </w:rPr>
  </w:style>
  <w:style w:type="numbering" w:customStyle="1" w:styleId="Table">
    <w:name w:val="Table"/>
    <w:uiPriority w:val="99"/>
    <w:rsid w:val="00317194"/>
    <w:pPr>
      <w:numPr>
        <w:numId w:val="1"/>
      </w:numPr>
    </w:pPr>
  </w:style>
  <w:style w:type="paragraph" w:customStyle="1" w:styleId="ActionItems">
    <w:name w:val="Action Items"/>
    <w:basedOn w:val="Normal"/>
    <w:link w:val="ActionItemsChar"/>
    <w:qFormat/>
    <w:rsid w:val="003C51F7"/>
    <w:pPr>
      <w:spacing w:after="0"/>
      <w:ind w:left="993" w:right="1705"/>
    </w:pPr>
    <w:rPr>
      <w:b/>
      <w:color w:val="E36C0A" w:themeColor="accent6" w:themeShade="BF"/>
    </w:rPr>
  </w:style>
  <w:style w:type="character" w:customStyle="1" w:styleId="ActionItemsChar">
    <w:name w:val="Action Items Char"/>
    <w:basedOn w:val="DefaultParagraphFont"/>
    <w:link w:val="ActionItems"/>
    <w:rsid w:val="003C51F7"/>
    <w:rPr>
      <w:b/>
      <w:color w:val="E36C0A" w:themeColor="accent6" w:themeShade="BF"/>
    </w:rPr>
  </w:style>
  <w:style w:type="table" w:customStyle="1" w:styleId="MediumShading1-Accent11">
    <w:name w:val="Medium Shading 1 - Accent 11"/>
    <w:basedOn w:val="TableNormal"/>
    <w:uiPriority w:val="63"/>
    <w:rsid w:val="00DD30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337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CB4820"/>
    <w:rPr>
      <w:color w:val="244061" w:themeColor="accent1" w:themeShade="80"/>
      <w:sz w:val="24"/>
      <w:szCs w:val="24"/>
    </w:rPr>
  </w:style>
  <w:style w:type="paragraph" w:customStyle="1" w:styleId="Notes">
    <w:name w:val="Notes"/>
    <w:basedOn w:val="Normal"/>
    <w:link w:val="NotesChar"/>
    <w:qFormat/>
    <w:rsid w:val="001357C5"/>
    <w:pPr>
      <w:spacing w:after="0"/>
    </w:pPr>
    <w:rPr>
      <w:color w:val="A6A6A6" w:themeColor="background1" w:themeShade="A6"/>
    </w:rPr>
  </w:style>
  <w:style w:type="character" w:customStyle="1" w:styleId="NotesChar">
    <w:name w:val="Notes Char"/>
    <w:basedOn w:val="DefaultParagraphFont"/>
    <w:link w:val="Notes"/>
    <w:rsid w:val="001357C5"/>
    <w:rPr>
      <w:color w:val="A6A6A6" w:themeColor="background1" w:themeShade="A6"/>
    </w:rPr>
  </w:style>
  <w:style w:type="character" w:styleId="IntenseEmphasis">
    <w:name w:val="Intense Emphasis"/>
    <w:basedOn w:val="DefaultParagraphFont"/>
    <w:uiPriority w:val="21"/>
    <w:qFormat/>
    <w:rsid w:val="00986972"/>
    <w:rPr>
      <w:b/>
      <w:bCs/>
      <w:i/>
      <w:iCs/>
      <w:color w:val="4F81BD" w:themeColor="accent1"/>
    </w:rPr>
  </w:style>
  <w:style w:type="paragraph" w:styleId="TOC4">
    <w:name w:val="toc 4"/>
    <w:basedOn w:val="Heading4"/>
    <w:next w:val="Normal"/>
    <w:autoRedefine/>
    <w:uiPriority w:val="39"/>
    <w:rsid w:val="00540373"/>
    <w:pPr>
      <w:tabs>
        <w:tab w:val="right" w:pos="9350"/>
      </w:tabs>
      <w:spacing w:before="0" w:after="0" w:line="360" w:lineRule="auto"/>
      <w:ind w:left="851"/>
    </w:pPr>
    <w:rPr>
      <w:rFonts w:cstheme="minorHAnsi"/>
      <w:noProof/>
      <w:sz w:val="22"/>
      <w:szCs w:val="20"/>
    </w:rPr>
  </w:style>
  <w:style w:type="paragraph" w:styleId="TOC5">
    <w:name w:val="toc 5"/>
    <w:basedOn w:val="Normal"/>
    <w:next w:val="Normal"/>
    <w:autoRedefine/>
    <w:uiPriority w:val="39"/>
    <w:rsid w:val="00F029A5"/>
    <w:pPr>
      <w:spacing w:after="0"/>
      <w:ind w:left="660"/>
    </w:pPr>
    <w:rPr>
      <w:rFonts w:cstheme="minorHAnsi"/>
      <w:i/>
      <w:sz w:val="20"/>
      <w:szCs w:val="20"/>
    </w:rPr>
  </w:style>
  <w:style w:type="paragraph" w:styleId="TOC6">
    <w:name w:val="toc 6"/>
    <w:basedOn w:val="Normal"/>
    <w:next w:val="Normal"/>
    <w:autoRedefine/>
    <w:uiPriority w:val="39"/>
    <w:unhideWhenUsed/>
    <w:rsid w:val="00DC3D97"/>
    <w:pPr>
      <w:spacing w:after="0"/>
      <w:ind w:left="880"/>
    </w:pPr>
    <w:rPr>
      <w:rFonts w:cstheme="minorHAnsi"/>
      <w:sz w:val="20"/>
      <w:szCs w:val="20"/>
    </w:rPr>
  </w:style>
  <w:style w:type="paragraph" w:styleId="TOC7">
    <w:name w:val="toc 7"/>
    <w:basedOn w:val="Normal"/>
    <w:next w:val="Normal"/>
    <w:autoRedefine/>
    <w:uiPriority w:val="39"/>
    <w:unhideWhenUsed/>
    <w:rsid w:val="00DC3D97"/>
    <w:pPr>
      <w:spacing w:after="0"/>
      <w:ind w:left="1100"/>
    </w:pPr>
    <w:rPr>
      <w:rFonts w:cstheme="minorHAnsi"/>
      <w:sz w:val="20"/>
      <w:szCs w:val="20"/>
    </w:rPr>
  </w:style>
  <w:style w:type="paragraph" w:styleId="TOC8">
    <w:name w:val="toc 8"/>
    <w:basedOn w:val="Normal"/>
    <w:next w:val="Normal"/>
    <w:autoRedefine/>
    <w:uiPriority w:val="39"/>
    <w:unhideWhenUsed/>
    <w:rsid w:val="00DC3D97"/>
    <w:pPr>
      <w:spacing w:after="0"/>
      <w:ind w:left="1320"/>
    </w:pPr>
    <w:rPr>
      <w:rFonts w:cstheme="minorHAnsi"/>
      <w:sz w:val="20"/>
      <w:szCs w:val="20"/>
    </w:rPr>
  </w:style>
  <w:style w:type="paragraph" w:styleId="TOC9">
    <w:name w:val="toc 9"/>
    <w:basedOn w:val="Normal"/>
    <w:next w:val="Normal"/>
    <w:autoRedefine/>
    <w:uiPriority w:val="39"/>
    <w:unhideWhenUsed/>
    <w:rsid w:val="00DC3D97"/>
    <w:pPr>
      <w:spacing w:after="0"/>
      <w:ind w:left="1540"/>
    </w:pPr>
    <w:rPr>
      <w:rFonts w:cstheme="minorHAnsi"/>
      <w:sz w:val="20"/>
      <w:szCs w:val="20"/>
    </w:rPr>
  </w:style>
  <w:style w:type="table" w:styleId="MediumGrid2-Accent1">
    <w:name w:val="Medium Grid 2 Accent 1"/>
    <w:basedOn w:val="TableNormal"/>
    <w:uiPriority w:val="68"/>
    <w:rsid w:val="007E4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5">
    <w:name w:val="Medium List 1 Accent 5"/>
    <w:basedOn w:val="TableNormal"/>
    <w:uiPriority w:val="65"/>
    <w:rsid w:val="007E4D0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EndnoteText">
    <w:name w:val="endnote text"/>
    <w:basedOn w:val="Normal"/>
    <w:link w:val="EndnoteTextChar"/>
    <w:uiPriority w:val="99"/>
    <w:unhideWhenUsed/>
    <w:rsid w:val="00E64D94"/>
    <w:pPr>
      <w:spacing w:after="0" w:line="240" w:lineRule="auto"/>
    </w:pPr>
    <w:rPr>
      <w:sz w:val="20"/>
      <w:szCs w:val="20"/>
    </w:rPr>
  </w:style>
  <w:style w:type="character" w:customStyle="1" w:styleId="EndnoteTextChar">
    <w:name w:val="Endnote Text Char"/>
    <w:basedOn w:val="DefaultParagraphFont"/>
    <w:link w:val="EndnoteText"/>
    <w:uiPriority w:val="99"/>
    <w:rsid w:val="00E64D94"/>
    <w:rPr>
      <w:sz w:val="20"/>
      <w:szCs w:val="20"/>
    </w:rPr>
  </w:style>
  <w:style w:type="character" w:styleId="EndnoteReference">
    <w:name w:val="endnote reference"/>
    <w:basedOn w:val="DefaultParagraphFont"/>
    <w:uiPriority w:val="99"/>
    <w:semiHidden/>
    <w:unhideWhenUsed/>
    <w:rsid w:val="00E64D94"/>
    <w:rPr>
      <w:vertAlign w:val="superscript"/>
    </w:rPr>
  </w:style>
  <w:style w:type="paragraph" w:styleId="DocumentMap">
    <w:name w:val="Document Map"/>
    <w:basedOn w:val="Normal"/>
    <w:link w:val="DocumentMapChar"/>
    <w:uiPriority w:val="99"/>
    <w:semiHidden/>
    <w:unhideWhenUsed/>
    <w:rsid w:val="008875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7599"/>
    <w:rPr>
      <w:rFonts w:ascii="Tahoma" w:hAnsi="Tahoma" w:cs="Tahoma"/>
      <w:sz w:val="16"/>
      <w:szCs w:val="16"/>
    </w:rPr>
  </w:style>
  <w:style w:type="paragraph" w:styleId="Revision">
    <w:name w:val="Revision"/>
    <w:hidden/>
    <w:uiPriority w:val="99"/>
    <w:semiHidden/>
    <w:rsid w:val="00351A72"/>
    <w:pPr>
      <w:spacing w:after="0" w:line="240" w:lineRule="auto"/>
    </w:pPr>
  </w:style>
  <w:style w:type="table" w:styleId="LightShading-Accent5">
    <w:name w:val="Light Shading Accent 5"/>
    <w:basedOn w:val="TableNormal"/>
    <w:uiPriority w:val="60"/>
    <w:rsid w:val="00814A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B577A7"/>
    <w:pPr>
      <w:spacing w:line="240" w:lineRule="auto"/>
    </w:pPr>
    <w:rPr>
      <w:b/>
      <w:bCs/>
      <w:color w:val="4F81BD" w:themeColor="accent1"/>
      <w:sz w:val="18"/>
      <w:szCs w:val="18"/>
    </w:rPr>
  </w:style>
  <w:style w:type="paragraph" w:styleId="NoSpacing">
    <w:name w:val="No Spacing"/>
    <w:link w:val="NoSpacingChar"/>
    <w:uiPriority w:val="1"/>
    <w:qFormat/>
    <w:rsid w:val="00604B7B"/>
    <w:pPr>
      <w:spacing w:after="0" w:line="240" w:lineRule="auto"/>
    </w:pPr>
  </w:style>
  <w:style w:type="character" w:customStyle="1" w:styleId="NoSpacingChar">
    <w:name w:val="No Spacing Char"/>
    <w:basedOn w:val="DefaultParagraphFont"/>
    <w:link w:val="NoSpacing"/>
    <w:uiPriority w:val="1"/>
    <w:rsid w:val="00AA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97"/>
  </w:style>
  <w:style w:type="paragraph" w:styleId="Heading1">
    <w:name w:val="heading 1"/>
    <w:basedOn w:val="Normal"/>
    <w:next w:val="Normal"/>
    <w:link w:val="Heading1Char"/>
    <w:uiPriority w:val="9"/>
    <w:qFormat/>
    <w:rsid w:val="00CD3909"/>
    <w:pPr>
      <w:keepNext/>
      <w:keepLines/>
      <w:spacing w:before="240" w:after="240"/>
      <w:outlineLvl w:val="0"/>
    </w:pPr>
    <w:rPr>
      <w:rFonts w:eastAsiaTheme="majorEastAsia" w:cstheme="majorBidi"/>
      <w:bCs/>
      <w:caps/>
      <w:color w:val="215868" w:themeColor="accent5" w:themeShade="80"/>
      <w:sz w:val="28"/>
      <w:szCs w:val="28"/>
    </w:rPr>
  </w:style>
  <w:style w:type="paragraph" w:styleId="Heading2">
    <w:name w:val="heading 2"/>
    <w:basedOn w:val="Normal"/>
    <w:next w:val="Normal"/>
    <w:link w:val="Heading2Char"/>
    <w:uiPriority w:val="9"/>
    <w:unhideWhenUsed/>
    <w:qFormat/>
    <w:rsid w:val="006C61E1"/>
    <w:pPr>
      <w:keepNext/>
      <w:keepLines/>
      <w:spacing w:before="200" w:after="240"/>
      <w:outlineLvl w:val="1"/>
    </w:pPr>
    <w:rPr>
      <w:rFonts w:eastAsiaTheme="majorEastAsia" w:cstheme="majorBidi"/>
      <w:b/>
      <w:bCs/>
      <w:color w:val="215868" w:themeColor="accent5" w:themeShade="80"/>
      <w:sz w:val="26"/>
      <w:szCs w:val="26"/>
    </w:rPr>
  </w:style>
  <w:style w:type="paragraph" w:styleId="Heading3">
    <w:name w:val="heading 3"/>
    <w:basedOn w:val="Normal"/>
    <w:next w:val="Normal"/>
    <w:link w:val="Heading3Char"/>
    <w:uiPriority w:val="9"/>
    <w:unhideWhenUsed/>
    <w:qFormat/>
    <w:rsid w:val="00BD1B06"/>
    <w:pPr>
      <w:spacing w:before="120" w:after="120"/>
      <w:outlineLvl w:val="2"/>
    </w:pPr>
    <w:rPr>
      <w:b/>
      <w:i/>
      <w:color w:val="31849B" w:themeColor="accent5" w:themeShade="BF"/>
      <w:sz w:val="24"/>
      <w:szCs w:val="24"/>
    </w:rPr>
  </w:style>
  <w:style w:type="paragraph" w:styleId="Heading4">
    <w:name w:val="heading 4"/>
    <w:basedOn w:val="Normal"/>
    <w:next w:val="Normal"/>
    <w:link w:val="Heading4Char"/>
    <w:uiPriority w:val="9"/>
    <w:unhideWhenUsed/>
    <w:qFormat/>
    <w:rsid w:val="008433F5"/>
    <w:pPr>
      <w:keepNext/>
      <w:keepLines/>
      <w:spacing w:before="200" w:after="240"/>
      <w:outlineLvl w:val="3"/>
    </w:pPr>
    <w:rPr>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909"/>
    <w:rPr>
      <w:rFonts w:eastAsiaTheme="majorEastAsia" w:cstheme="majorBidi"/>
      <w:bCs/>
      <w:caps/>
      <w:color w:val="215868" w:themeColor="accent5" w:themeShade="80"/>
      <w:sz w:val="28"/>
      <w:szCs w:val="28"/>
    </w:rPr>
  </w:style>
  <w:style w:type="paragraph" w:styleId="TOCHeading">
    <w:name w:val="TOC Heading"/>
    <w:basedOn w:val="Heading1"/>
    <w:next w:val="Normal"/>
    <w:uiPriority w:val="39"/>
    <w:semiHidden/>
    <w:unhideWhenUsed/>
    <w:qFormat/>
    <w:rsid w:val="003740E8"/>
    <w:pPr>
      <w:outlineLvl w:val="9"/>
    </w:pPr>
    <w:rPr>
      <w:lang w:val="en-US" w:eastAsia="ja-JP"/>
    </w:rPr>
  </w:style>
  <w:style w:type="paragraph" w:styleId="BalloonText">
    <w:name w:val="Balloon Text"/>
    <w:basedOn w:val="Normal"/>
    <w:link w:val="BalloonTextChar"/>
    <w:uiPriority w:val="99"/>
    <w:semiHidden/>
    <w:unhideWhenUsed/>
    <w:rsid w:val="0037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E8"/>
    <w:rPr>
      <w:rFonts w:ascii="Tahoma" w:hAnsi="Tahoma" w:cs="Tahoma"/>
      <w:sz w:val="16"/>
      <w:szCs w:val="16"/>
    </w:rPr>
  </w:style>
  <w:style w:type="paragraph" w:styleId="TOC1">
    <w:name w:val="toc 1"/>
    <w:basedOn w:val="Normal"/>
    <w:next w:val="Normal"/>
    <w:autoRedefine/>
    <w:uiPriority w:val="39"/>
    <w:unhideWhenUsed/>
    <w:qFormat/>
    <w:rsid w:val="00A21223"/>
    <w:pPr>
      <w:spacing w:before="360" w:after="0"/>
    </w:pPr>
    <w:rPr>
      <w:b/>
      <w:bCs/>
      <w:caps/>
      <w:sz w:val="28"/>
      <w:szCs w:val="24"/>
    </w:rPr>
  </w:style>
  <w:style w:type="character" w:styleId="Hyperlink">
    <w:name w:val="Hyperlink"/>
    <w:basedOn w:val="DefaultParagraphFont"/>
    <w:uiPriority w:val="99"/>
    <w:unhideWhenUsed/>
    <w:rsid w:val="003740E8"/>
    <w:rPr>
      <w:color w:val="0000FF" w:themeColor="hyperlink"/>
      <w:u w:val="single"/>
    </w:rPr>
  </w:style>
  <w:style w:type="table" w:styleId="TableGrid">
    <w:name w:val="Table Grid"/>
    <w:basedOn w:val="TableNormal"/>
    <w:uiPriority w:val="59"/>
    <w:rsid w:val="00CA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58A4"/>
    <w:rPr>
      <w:sz w:val="16"/>
      <w:szCs w:val="16"/>
    </w:rPr>
  </w:style>
  <w:style w:type="paragraph" w:styleId="CommentText">
    <w:name w:val="annotation text"/>
    <w:basedOn w:val="Normal"/>
    <w:link w:val="CommentTextChar"/>
    <w:uiPriority w:val="99"/>
    <w:semiHidden/>
    <w:unhideWhenUsed/>
    <w:rsid w:val="006F58A4"/>
    <w:pPr>
      <w:spacing w:line="240" w:lineRule="auto"/>
    </w:pPr>
    <w:rPr>
      <w:sz w:val="20"/>
      <w:szCs w:val="20"/>
    </w:rPr>
  </w:style>
  <w:style w:type="character" w:customStyle="1" w:styleId="CommentTextChar">
    <w:name w:val="Comment Text Char"/>
    <w:basedOn w:val="DefaultParagraphFont"/>
    <w:link w:val="CommentText"/>
    <w:uiPriority w:val="99"/>
    <w:semiHidden/>
    <w:rsid w:val="006F58A4"/>
    <w:rPr>
      <w:sz w:val="20"/>
      <w:szCs w:val="20"/>
    </w:rPr>
  </w:style>
  <w:style w:type="paragraph" w:styleId="CommentSubject">
    <w:name w:val="annotation subject"/>
    <w:basedOn w:val="CommentText"/>
    <w:next w:val="CommentText"/>
    <w:link w:val="CommentSubjectChar"/>
    <w:uiPriority w:val="99"/>
    <w:semiHidden/>
    <w:unhideWhenUsed/>
    <w:rsid w:val="006F58A4"/>
    <w:rPr>
      <w:b/>
      <w:bCs/>
    </w:rPr>
  </w:style>
  <w:style w:type="character" w:customStyle="1" w:styleId="CommentSubjectChar">
    <w:name w:val="Comment Subject Char"/>
    <w:basedOn w:val="CommentTextChar"/>
    <w:link w:val="CommentSubject"/>
    <w:uiPriority w:val="99"/>
    <w:semiHidden/>
    <w:rsid w:val="006F58A4"/>
    <w:rPr>
      <w:b/>
      <w:bCs/>
      <w:sz w:val="20"/>
      <w:szCs w:val="20"/>
    </w:rPr>
  </w:style>
  <w:style w:type="character" w:customStyle="1" w:styleId="Heading2Char">
    <w:name w:val="Heading 2 Char"/>
    <w:basedOn w:val="DefaultParagraphFont"/>
    <w:link w:val="Heading2"/>
    <w:uiPriority w:val="9"/>
    <w:rsid w:val="006C61E1"/>
    <w:rPr>
      <w:rFonts w:eastAsiaTheme="majorEastAsia" w:cstheme="majorBidi"/>
      <w:b/>
      <w:bCs/>
      <w:color w:val="215868" w:themeColor="accent5" w:themeShade="80"/>
      <w:sz w:val="26"/>
      <w:szCs w:val="26"/>
    </w:rPr>
  </w:style>
  <w:style w:type="paragraph" w:styleId="TOC2">
    <w:name w:val="toc 2"/>
    <w:basedOn w:val="Normal"/>
    <w:next w:val="Normal"/>
    <w:autoRedefine/>
    <w:uiPriority w:val="39"/>
    <w:unhideWhenUsed/>
    <w:qFormat/>
    <w:rsid w:val="00A21223"/>
    <w:pPr>
      <w:spacing w:before="240" w:after="0"/>
    </w:pPr>
    <w:rPr>
      <w:rFonts w:cstheme="minorHAnsi"/>
      <w:b/>
      <w:bCs/>
      <w:sz w:val="24"/>
      <w:szCs w:val="20"/>
    </w:rPr>
  </w:style>
  <w:style w:type="paragraph" w:styleId="ListParagraph">
    <w:name w:val="List Paragraph"/>
    <w:basedOn w:val="Normal"/>
    <w:uiPriority w:val="34"/>
    <w:qFormat/>
    <w:rsid w:val="00FE6EFA"/>
    <w:pPr>
      <w:ind w:left="720"/>
      <w:contextualSpacing/>
    </w:pPr>
  </w:style>
  <w:style w:type="character" w:customStyle="1" w:styleId="Heading3Char">
    <w:name w:val="Heading 3 Char"/>
    <w:basedOn w:val="DefaultParagraphFont"/>
    <w:link w:val="Heading3"/>
    <w:uiPriority w:val="9"/>
    <w:rsid w:val="00BD1B06"/>
    <w:rPr>
      <w:b/>
      <w:i/>
      <w:color w:val="31849B" w:themeColor="accent5" w:themeShade="BF"/>
      <w:sz w:val="24"/>
      <w:szCs w:val="24"/>
    </w:rPr>
  </w:style>
  <w:style w:type="paragraph" w:styleId="TOC3">
    <w:name w:val="toc 3"/>
    <w:basedOn w:val="Normal"/>
    <w:next w:val="Normal"/>
    <w:autoRedefine/>
    <w:uiPriority w:val="39"/>
    <w:unhideWhenUsed/>
    <w:qFormat/>
    <w:rsid w:val="00A21223"/>
    <w:pPr>
      <w:spacing w:after="0"/>
      <w:ind w:left="220"/>
    </w:pPr>
    <w:rPr>
      <w:rFonts w:cstheme="minorHAnsi"/>
      <w:szCs w:val="20"/>
    </w:rPr>
  </w:style>
  <w:style w:type="paragraph" w:styleId="Header">
    <w:name w:val="header"/>
    <w:basedOn w:val="Normal"/>
    <w:link w:val="HeaderChar"/>
    <w:uiPriority w:val="99"/>
    <w:semiHidden/>
    <w:unhideWhenUsed/>
    <w:rsid w:val="009E5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5D18"/>
  </w:style>
  <w:style w:type="paragraph" w:styleId="Footer">
    <w:name w:val="footer"/>
    <w:basedOn w:val="Normal"/>
    <w:link w:val="FooterChar"/>
    <w:uiPriority w:val="99"/>
    <w:unhideWhenUsed/>
    <w:rsid w:val="009E5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18"/>
  </w:style>
  <w:style w:type="table" w:customStyle="1" w:styleId="LightGrid-Accent11">
    <w:name w:val="Light Grid - Accent 11"/>
    <w:basedOn w:val="TableNormal"/>
    <w:uiPriority w:val="62"/>
    <w:rsid w:val="00CD1E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C9386C"/>
    <w:rPr>
      <w:b/>
      <w:bCs/>
    </w:rPr>
  </w:style>
  <w:style w:type="paragraph" w:styleId="Bibliography">
    <w:name w:val="Bibliography"/>
    <w:basedOn w:val="Normal"/>
    <w:next w:val="Normal"/>
    <w:uiPriority w:val="37"/>
    <w:unhideWhenUsed/>
    <w:rsid w:val="00026B29"/>
  </w:style>
  <w:style w:type="character" w:styleId="FollowedHyperlink">
    <w:name w:val="FollowedHyperlink"/>
    <w:basedOn w:val="DefaultParagraphFont"/>
    <w:uiPriority w:val="99"/>
    <w:semiHidden/>
    <w:unhideWhenUsed/>
    <w:rsid w:val="00554FB8"/>
    <w:rPr>
      <w:color w:val="800080" w:themeColor="followedHyperlink"/>
      <w:u w:val="single"/>
    </w:rPr>
  </w:style>
  <w:style w:type="paragraph" w:styleId="FootnoteText">
    <w:name w:val="footnote text"/>
    <w:basedOn w:val="Normal"/>
    <w:link w:val="FootnoteTextChar"/>
    <w:uiPriority w:val="99"/>
    <w:semiHidden/>
    <w:unhideWhenUsed/>
    <w:rsid w:val="00711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D55"/>
    <w:rPr>
      <w:sz w:val="20"/>
      <w:szCs w:val="20"/>
    </w:rPr>
  </w:style>
  <w:style w:type="character" w:styleId="FootnoteReference">
    <w:name w:val="footnote reference"/>
    <w:basedOn w:val="DefaultParagraphFont"/>
    <w:uiPriority w:val="99"/>
    <w:semiHidden/>
    <w:unhideWhenUsed/>
    <w:rsid w:val="00711D55"/>
    <w:rPr>
      <w:vertAlign w:val="superscript"/>
    </w:rPr>
  </w:style>
  <w:style w:type="numbering" w:customStyle="1" w:styleId="Table">
    <w:name w:val="Table"/>
    <w:uiPriority w:val="99"/>
    <w:rsid w:val="00317194"/>
    <w:pPr>
      <w:numPr>
        <w:numId w:val="1"/>
      </w:numPr>
    </w:pPr>
  </w:style>
  <w:style w:type="paragraph" w:customStyle="1" w:styleId="ActionItems">
    <w:name w:val="Action Items"/>
    <w:basedOn w:val="Normal"/>
    <w:link w:val="ActionItemsChar"/>
    <w:qFormat/>
    <w:rsid w:val="003C51F7"/>
    <w:pPr>
      <w:spacing w:after="0"/>
      <w:ind w:left="993" w:right="1705"/>
    </w:pPr>
    <w:rPr>
      <w:b/>
      <w:color w:val="E36C0A" w:themeColor="accent6" w:themeShade="BF"/>
    </w:rPr>
  </w:style>
  <w:style w:type="character" w:customStyle="1" w:styleId="ActionItemsChar">
    <w:name w:val="Action Items Char"/>
    <w:basedOn w:val="DefaultParagraphFont"/>
    <w:link w:val="ActionItems"/>
    <w:rsid w:val="003C51F7"/>
    <w:rPr>
      <w:b/>
      <w:color w:val="E36C0A" w:themeColor="accent6" w:themeShade="BF"/>
    </w:rPr>
  </w:style>
  <w:style w:type="table" w:customStyle="1" w:styleId="MediumShading1-Accent11">
    <w:name w:val="Medium Shading 1 - Accent 11"/>
    <w:basedOn w:val="TableNormal"/>
    <w:uiPriority w:val="63"/>
    <w:rsid w:val="00DD30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337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8433F5"/>
    <w:rPr>
      <w:color w:val="31849B" w:themeColor="accent5" w:themeShade="BF"/>
      <w:sz w:val="24"/>
      <w:szCs w:val="24"/>
    </w:rPr>
  </w:style>
  <w:style w:type="paragraph" w:customStyle="1" w:styleId="Notes">
    <w:name w:val="Notes"/>
    <w:basedOn w:val="Normal"/>
    <w:link w:val="NotesChar"/>
    <w:qFormat/>
    <w:rsid w:val="001357C5"/>
    <w:pPr>
      <w:spacing w:after="0"/>
    </w:pPr>
    <w:rPr>
      <w:color w:val="A6A6A6" w:themeColor="background1" w:themeShade="A6"/>
    </w:rPr>
  </w:style>
  <w:style w:type="character" w:customStyle="1" w:styleId="NotesChar">
    <w:name w:val="Notes Char"/>
    <w:basedOn w:val="DefaultParagraphFont"/>
    <w:link w:val="Notes"/>
    <w:rsid w:val="001357C5"/>
    <w:rPr>
      <w:color w:val="A6A6A6" w:themeColor="background1" w:themeShade="A6"/>
    </w:rPr>
  </w:style>
  <w:style w:type="character" w:styleId="IntenseEmphasis">
    <w:name w:val="Intense Emphasis"/>
    <w:basedOn w:val="DefaultParagraphFont"/>
    <w:uiPriority w:val="21"/>
    <w:qFormat/>
    <w:rsid w:val="00986972"/>
    <w:rPr>
      <w:b/>
      <w:bCs/>
      <w:i/>
      <w:iCs/>
      <w:color w:val="4F81BD" w:themeColor="accent1"/>
    </w:rPr>
  </w:style>
  <w:style w:type="paragraph" w:styleId="TOC4">
    <w:name w:val="toc 4"/>
    <w:basedOn w:val="Heading4"/>
    <w:next w:val="Normal"/>
    <w:autoRedefine/>
    <w:uiPriority w:val="39"/>
    <w:rsid w:val="00A21223"/>
    <w:pPr>
      <w:spacing w:before="0" w:after="0" w:line="360" w:lineRule="auto"/>
      <w:ind w:left="442"/>
    </w:pPr>
    <w:rPr>
      <w:rFonts w:cstheme="minorHAnsi"/>
      <w:i/>
      <w:sz w:val="22"/>
      <w:szCs w:val="20"/>
    </w:rPr>
  </w:style>
  <w:style w:type="paragraph" w:styleId="TOC5">
    <w:name w:val="toc 5"/>
    <w:basedOn w:val="Normal"/>
    <w:next w:val="Normal"/>
    <w:autoRedefine/>
    <w:uiPriority w:val="39"/>
    <w:rsid w:val="00F029A5"/>
    <w:pPr>
      <w:spacing w:after="0"/>
      <w:ind w:left="660"/>
    </w:pPr>
    <w:rPr>
      <w:rFonts w:cstheme="minorHAnsi"/>
      <w:i/>
      <w:sz w:val="20"/>
      <w:szCs w:val="20"/>
    </w:rPr>
  </w:style>
  <w:style w:type="paragraph" w:styleId="TOC6">
    <w:name w:val="toc 6"/>
    <w:basedOn w:val="Normal"/>
    <w:next w:val="Normal"/>
    <w:autoRedefine/>
    <w:uiPriority w:val="39"/>
    <w:unhideWhenUsed/>
    <w:rsid w:val="00DC3D97"/>
    <w:pPr>
      <w:spacing w:after="0"/>
      <w:ind w:left="880"/>
    </w:pPr>
    <w:rPr>
      <w:rFonts w:cstheme="minorHAnsi"/>
      <w:sz w:val="20"/>
      <w:szCs w:val="20"/>
    </w:rPr>
  </w:style>
  <w:style w:type="paragraph" w:styleId="TOC7">
    <w:name w:val="toc 7"/>
    <w:basedOn w:val="Normal"/>
    <w:next w:val="Normal"/>
    <w:autoRedefine/>
    <w:uiPriority w:val="39"/>
    <w:unhideWhenUsed/>
    <w:rsid w:val="00DC3D97"/>
    <w:pPr>
      <w:spacing w:after="0"/>
      <w:ind w:left="1100"/>
    </w:pPr>
    <w:rPr>
      <w:rFonts w:cstheme="minorHAnsi"/>
      <w:sz w:val="20"/>
      <w:szCs w:val="20"/>
    </w:rPr>
  </w:style>
  <w:style w:type="paragraph" w:styleId="TOC8">
    <w:name w:val="toc 8"/>
    <w:basedOn w:val="Normal"/>
    <w:next w:val="Normal"/>
    <w:autoRedefine/>
    <w:uiPriority w:val="39"/>
    <w:unhideWhenUsed/>
    <w:rsid w:val="00DC3D97"/>
    <w:pPr>
      <w:spacing w:after="0"/>
      <w:ind w:left="1320"/>
    </w:pPr>
    <w:rPr>
      <w:rFonts w:cstheme="minorHAnsi"/>
      <w:sz w:val="20"/>
      <w:szCs w:val="20"/>
    </w:rPr>
  </w:style>
  <w:style w:type="paragraph" w:styleId="TOC9">
    <w:name w:val="toc 9"/>
    <w:basedOn w:val="Normal"/>
    <w:next w:val="Normal"/>
    <w:autoRedefine/>
    <w:uiPriority w:val="39"/>
    <w:unhideWhenUsed/>
    <w:rsid w:val="00DC3D97"/>
    <w:pPr>
      <w:spacing w:after="0"/>
      <w:ind w:left="1540"/>
    </w:pPr>
    <w:rPr>
      <w:rFonts w:cstheme="minorHAnsi"/>
      <w:sz w:val="20"/>
      <w:szCs w:val="20"/>
    </w:rPr>
  </w:style>
  <w:style w:type="table" w:styleId="MediumGrid2-Accent1">
    <w:name w:val="Medium Grid 2 Accent 1"/>
    <w:basedOn w:val="TableNormal"/>
    <w:uiPriority w:val="68"/>
    <w:rsid w:val="007E4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5">
    <w:name w:val="Medium List 1 Accent 5"/>
    <w:basedOn w:val="TableNormal"/>
    <w:uiPriority w:val="65"/>
    <w:rsid w:val="007E4D0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EndnoteText">
    <w:name w:val="endnote text"/>
    <w:basedOn w:val="Normal"/>
    <w:link w:val="EndnoteTextChar"/>
    <w:uiPriority w:val="99"/>
    <w:semiHidden/>
    <w:unhideWhenUsed/>
    <w:rsid w:val="00E64D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D94"/>
    <w:rPr>
      <w:sz w:val="20"/>
      <w:szCs w:val="20"/>
    </w:rPr>
  </w:style>
  <w:style w:type="character" w:styleId="EndnoteReference">
    <w:name w:val="endnote reference"/>
    <w:basedOn w:val="DefaultParagraphFont"/>
    <w:uiPriority w:val="99"/>
    <w:semiHidden/>
    <w:unhideWhenUsed/>
    <w:rsid w:val="00E64D94"/>
    <w:rPr>
      <w:vertAlign w:val="superscript"/>
    </w:rPr>
  </w:style>
  <w:style w:type="paragraph" w:styleId="DocumentMap">
    <w:name w:val="Document Map"/>
    <w:basedOn w:val="Normal"/>
    <w:link w:val="DocumentMapChar"/>
    <w:uiPriority w:val="99"/>
    <w:semiHidden/>
    <w:unhideWhenUsed/>
    <w:rsid w:val="008875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7599"/>
    <w:rPr>
      <w:rFonts w:ascii="Tahoma" w:hAnsi="Tahoma" w:cs="Tahoma"/>
      <w:sz w:val="16"/>
      <w:szCs w:val="16"/>
    </w:rPr>
  </w:style>
  <w:style w:type="paragraph" w:styleId="Revision">
    <w:name w:val="Revision"/>
    <w:hidden/>
    <w:uiPriority w:val="99"/>
    <w:semiHidden/>
    <w:rsid w:val="00351A72"/>
    <w:pPr>
      <w:spacing w:after="0" w:line="240" w:lineRule="auto"/>
    </w:pPr>
  </w:style>
  <w:style w:type="table" w:styleId="LightShading-Accent5">
    <w:name w:val="Light Shading Accent 5"/>
    <w:basedOn w:val="TableNormal"/>
    <w:uiPriority w:val="60"/>
    <w:rsid w:val="00814A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B577A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60993134">
      <w:bodyDiv w:val="1"/>
      <w:marLeft w:val="0"/>
      <w:marRight w:val="0"/>
      <w:marTop w:val="0"/>
      <w:marBottom w:val="0"/>
      <w:divBdr>
        <w:top w:val="none" w:sz="0" w:space="0" w:color="auto"/>
        <w:left w:val="none" w:sz="0" w:space="0" w:color="auto"/>
        <w:bottom w:val="none" w:sz="0" w:space="0" w:color="auto"/>
        <w:right w:val="none" w:sz="0" w:space="0" w:color="auto"/>
      </w:divBdr>
    </w:div>
    <w:div w:id="262761345">
      <w:bodyDiv w:val="1"/>
      <w:marLeft w:val="0"/>
      <w:marRight w:val="0"/>
      <w:marTop w:val="0"/>
      <w:marBottom w:val="0"/>
      <w:divBdr>
        <w:top w:val="none" w:sz="0" w:space="0" w:color="auto"/>
        <w:left w:val="none" w:sz="0" w:space="0" w:color="auto"/>
        <w:bottom w:val="none" w:sz="0" w:space="0" w:color="auto"/>
        <w:right w:val="none" w:sz="0" w:space="0" w:color="auto"/>
      </w:divBdr>
    </w:div>
    <w:div w:id="338971938">
      <w:bodyDiv w:val="1"/>
      <w:marLeft w:val="0"/>
      <w:marRight w:val="0"/>
      <w:marTop w:val="0"/>
      <w:marBottom w:val="0"/>
      <w:divBdr>
        <w:top w:val="none" w:sz="0" w:space="0" w:color="auto"/>
        <w:left w:val="none" w:sz="0" w:space="0" w:color="auto"/>
        <w:bottom w:val="none" w:sz="0" w:space="0" w:color="auto"/>
        <w:right w:val="none" w:sz="0" w:space="0" w:color="auto"/>
      </w:divBdr>
    </w:div>
    <w:div w:id="825635956">
      <w:bodyDiv w:val="1"/>
      <w:marLeft w:val="0"/>
      <w:marRight w:val="0"/>
      <w:marTop w:val="0"/>
      <w:marBottom w:val="0"/>
      <w:divBdr>
        <w:top w:val="none" w:sz="0" w:space="0" w:color="auto"/>
        <w:left w:val="none" w:sz="0" w:space="0" w:color="auto"/>
        <w:bottom w:val="none" w:sz="0" w:space="0" w:color="auto"/>
        <w:right w:val="none" w:sz="0" w:space="0" w:color="auto"/>
      </w:divBdr>
    </w:div>
    <w:div w:id="1132018104">
      <w:bodyDiv w:val="1"/>
      <w:marLeft w:val="0"/>
      <w:marRight w:val="0"/>
      <w:marTop w:val="0"/>
      <w:marBottom w:val="0"/>
      <w:divBdr>
        <w:top w:val="none" w:sz="0" w:space="0" w:color="auto"/>
        <w:left w:val="none" w:sz="0" w:space="0" w:color="auto"/>
        <w:bottom w:val="none" w:sz="0" w:space="0" w:color="auto"/>
        <w:right w:val="none" w:sz="0" w:space="0" w:color="auto"/>
      </w:divBdr>
      <w:divsChild>
        <w:div w:id="178398429">
          <w:marLeft w:val="0"/>
          <w:marRight w:val="0"/>
          <w:marTop w:val="0"/>
          <w:marBottom w:val="0"/>
          <w:divBdr>
            <w:top w:val="none" w:sz="0" w:space="0" w:color="auto"/>
            <w:left w:val="none" w:sz="0" w:space="0" w:color="auto"/>
            <w:bottom w:val="none" w:sz="0" w:space="0" w:color="auto"/>
            <w:right w:val="none" w:sz="0" w:space="0" w:color="auto"/>
          </w:divBdr>
          <w:divsChild>
            <w:div w:id="2146656036">
              <w:marLeft w:val="0"/>
              <w:marRight w:val="0"/>
              <w:marTop w:val="0"/>
              <w:marBottom w:val="0"/>
              <w:divBdr>
                <w:top w:val="none" w:sz="0" w:space="0" w:color="auto"/>
                <w:left w:val="none" w:sz="0" w:space="0" w:color="auto"/>
                <w:bottom w:val="none" w:sz="0" w:space="0" w:color="auto"/>
                <w:right w:val="none" w:sz="0" w:space="0" w:color="auto"/>
              </w:divBdr>
              <w:divsChild>
                <w:div w:id="1180395397">
                  <w:marLeft w:val="0"/>
                  <w:marRight w:val="0"/>
                  <w:marTop w:val="0"/>
                  <w:marBottom w:val="0"/>
                  <w:divBdr>
                    <w:top w:val="none" w:sz="0" w:space="0" w:color="auto"/>
                    <w:left w:val="none" w:sz="0" w:space="0" w:color="auto"/>
                    <w:bottom w:val="none" w:sz="0" w:space="0" w:color="auto"/>
                    <w:right w:val="none" w:sz="0" w:space="0" w:color="auto"/>
                  </w:divBdr>
                  <w:divsChild>
                    <w:div w:id="705980662">
                      <w:marLeft w:val="0"/>
                      <w:marRight w:val="0"/>
                      <w:marTop w:val="0"/>
                      <w:marBottom w:val="0"/>
                      <w:divBdr>
                        <w:top w:val="none" w:sz="0" w:space="0" w:color="auto"/>
                        <w:left w:val="none" w:sz="0" w:space="0" w:color="auto"/>
                        <w:bottom w:val="none" w:sz="0" w:space="0" w:color="auto"/>
                        <w:right w:val="none" w:sz="0" w:space="0" w:color="auto"/>
                      </w:divBdr>
                      <w:divsChild>
                        <w:div w:id="195504208">
                          <w:marLeft w:val="0"/>
                          <w:marRight w:val="0"/>
                          <w:marTop w:val="0"/>
                          <w:marBottom w:val="0"/>
                          <w:divBdr>
                            <w:top w:val="none" w:sz="0" w:space="0" w:color="auto"/>
                            <w:left w:val="none" w:sz="0" w:space="0" w:color="auto"/>
                            <w:bottom w:val="none" w:sz="0" w:space="0" w:color="auto"/>
                            <w:right w:val="none" w:sz="0" w:space="0" w:color="auto"/>
                          </w:divBdr>
                          <w:divsChild>
                            <w:div w:id="539586625">
                              <w:marLeft w:val="0"/>
                              <w:marRight w:val="0"/>
                              <w:marTop w:val="0"/>
                              <w:marBottom w:val="0"/>
                              <w:divBdr>
                                <w:top w:val="none" w:sz="0" w:space="0" w:color="auto"/>
                                <w:left w:val="none" w:sz="0" w:space="0" w:color="auto"/>
                                <w:bottom w:val="none" w:sz="0" w:space="0" w:color="auto"/>
                                <w:right w:val="none" w:sz="0" w:space="0" w:color="auto"/>
                              </w:divBdr>
                              <w:divsChild>
                                <w:div w:id="379670789">
                                  <w:marLeft w:val="0"/>
                                  <w:marRight w:val="0"/>
                                  <w:marTop w:val="0"/>
                                  <w:marBottom w:val="0"/>
                                  <w:divBdr>
                                    <w:top w:val="none" w:sz="0" w:space="0" w:color="auto"/>
                                    <w:left w:val="none" w:sz="0" w:space="0" w:color="auto"/>
                                    <w:bottom w:val="none" w:sz="0" w:space="0" w:color="auto"/>
                                    <w:right w:val="none" w:sz="0" w:space="0" w:color="auto"/>
                                  </w:divBdr>
                                </w:div>
                                <w:div w:id="658734253">
                                  <w:marLeft w:val="0"/>
                                  <w:marRight w:val="0"/>
                                  <w:marTop w:val="0"/>
                                  <w:marBottom w:val="0"/>
                                  <w:divBdr>
                                    <w:top w:val="none" w:sz="0" w:space="0" w:color="auto"/>
                                    <w:left w:val="none" w:sz="0" w:space="0" w:color="auto"/>
                                    <w:bottom w:val="none" w:sz="0" w:space="0" w:color="auto"/>
                                    <w:right w:val="none" w:sz="0" w:space="0" w:color="auto"/>
                                  </w:divBdr>
                                </w:div>
                                <w:div w:id="670329420">
                                  <w:marLeft w:val="0"/>
                                  <w:marRight w:val="0"/>
                                  <w:marTop w:val="0"/>
                                  <w:marBottom w:val="0"/>
                                  <w:divBdr>
                                    <w:top w:val="none" w:sz="0" w:space="0" w:color="auto"/>
                                    <w:left w:val="none" w:sz="0" w:space="0" w:color="auto"/>
                                    <w:bottom w:val="none" w:sz="0" w:space="0" w:color="auto"/>
                                    <w:right w:val="none" w:sz="0" w:space="0" w:color="auto"/>
                                  </w:divBdr>
                                </w:div>
                                <w:div w:id="916674911">
                                  <w:marLeft w:val="0"/>
                                  <w:marRight w:val="0"/>
                                  <w:marTop w:val="0"/>
                                  <w:marBottom w:val="0"/>
                                  <w:divBdr>
                                    <w:top w:val="none" w:sz="0" w:space="0" w:color="auto"/>
                                    <w:left w:val="none" w:sz="0" w:space="0" w:color="auto"/>
                                    <w:bottom w:val="none" w:sz="0" w:space="0" w:color="auto"/>
                                    <w:right w:val="none" w:sz="0" w:space="0" w:color="auto"/>
                                  </w:divBdr>
                                </w:div>
                                <w:div w:id="926572700">
                                  <w:marLeft w:val="0"/>
                                  <w:marRight w:val="0"/>
                                  <w:marTop w:val="0"/>
                                  <w:marBottom w:val="0"/>
                                  <w:divBdr>
                                    <w:top w:val="none" w:sz="0" w:space="0" w:color="auto"/>
                                    <w:left w:val="none" w:sz="0" w:space="0" w:color="auto"/>
                                    <w:bottom w:val="none" w:sz="0" w:space="0" w:color="auto"/>
                                    <w:right w:val="none" w:sz="0" w:space="0" w:color="auto"/>
                                  </w:divBdr>
                                </w:div>
                                <w:div w:id="983198776">
                                  <w:marLeft w:val="0"/>
                                  <w:marRight w:val="0"/>
                                  <w:marTop w:val="0"/>
                                  <w:marBottom w:val="0"/>
                                  <w:divBdr>
                                    <w:top w:val="none" w:sz="0" w:space="0" w:color="auto"/>
                                    <w:left w:val="none" w:sz="0" w:space="0" w:color="auto"/>
                                    <w:bottom w:val="none" w:sz="0" w:space="0" w:color="auto"/>
                                    <w:right w:val="none" w:sz="0" w:space="0" w:color="auto"/>
                                  </w:divBdr>
                                </w:div>
                                <w:div w:id="1091927563">
                                  <w:marLeft w:val="0"/>
                                  <w:marRight w:val="0"/>
                                  <w:marTop w:val="0"/>
                                  <w:marBottom w:val="0"/>
                                  <w:divBdr>
                                    <w:top w:val="none" w:sz="0" w:space="0" w:color="auto"/>
                                    <w:left w:val="none" w:sz="0" w:space="0" w:color="auto"/>
                                    <w:bottom w:val="none" w:sz="0" w:space="0" w:color="auto"/>
                                    <w:right w:val="none" w:sz="0" w:space="0" w:color="auto"/>
                                  </w:divBdr>
                                </w:div>
                                <w:div w:id="1169833616">
                                  <w:marLeft w:val="0"/>
                                  <w:marRight w:val="0"/>
                                  <w:marTop w:val="0"/>
                                  <w:marBottom w:val="0"/>
                                  <w:divBdr>
                                    <w:top w:val="none" w:sz="0" w:space="0" w:color="auto"/>
                                    <w:left w:val="none" w:sz="0" w:space="0" w:color="auto"/>
                                    <w:bottom w:val="none" w:sz="0" w:space="0" w:color="auto"/>
                                    <w:right w:val="none" w:sz="0" w:space="0" w:color="auto"/>
                                  </w:divBdr>
                                </w:div>
                                <w:div w:id="1181122020">
                                  <w:marLeft w:val="0"/>
                                  <w:marRight w:val="0"/>
                                  <w:marTop w:val="0"/>
                                  <w:marBottom w:val="0"/>
                                  <w:divBdr>
                                    <w:top w:val="none" w:sz="0" w:space="0" w:color="auto"/>
                                    <w:left w:val="none" w:sz="0" w:space="0" w:color="auto"/>
                                    <w:bottom w:val="none" w:sz="0" w:space="0" w:color="auto"/>
                                    <w:right w:val="none" w:sz="0" w:space="0" w:color="auto"/>
                                  </w:divBdr>
                                </w:div>
                                <w:div w:id="1191603783">
                                  <w:marLeft w:val="0"/>
                                  <w:marRight w:val="0"/>
                                  <w:marTop w:val="0"/>
                                  <w:marBottom w:val="0"/>
                                  <w:divBdr>
                                    <w:top w:val="none" w:sz="0" w:space="0" w:color="auto"/>
                                    <w:left w:val="none" w:sz="0" w:space="0" w:color="auto"/>
                                    <w:bottom w:val="none" w:sz="0" w:space="0" w:color="auto"/>
                                    <w:right w:val="none" w:sz="0" w:space="0" w:color="auto"/>
                                  </w:divBdr>
                                </w:div>
                                <w:div w:id="18215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15135">
      <w:bodyDiv w:val="1"/>
      <w:marLeft w:val="0"/>
      <w:marRight w:val="0"/>
      <w:marTop w:val="0"/>
      <w:marBottom w:val="0"/>
      <w:divBdr>
        <w:top w:val="none" w:sz="0" w:space="0" w:color="auto"/>
        <w:left w:val="none" w:sz="0" w:space="0" w:color="auto"/>
        <w:bottom w:val="none" w:sz="0" w:space="0" w:color="auto"/>
        <w:right w:val="none" w:sz="0" w:space="0" w:color="auto"/>
      </w:divBdr>
    </w:div>
    <w:div w:id="1552840699">
      <w:bodyDiv w:val="1"/>
      <w:marLeft w:val="0"/>
      <w:marRight w:val="0"/>
      <w:marTop w:val="0"/>
      <w:marBottom w:val="0"/>
      <w:divBdr>
        <w:top w:val="none" w:sz="0" w:space="0" w:color="auto"/>
        <w:left w:val="none" w:sz="0" w:space="0" w:color="auto"/>
        <w:bottom w:val="none" w:sz="0" w:space="0" w:color="auto"/>
        <w:right w:val="none" w:sz="0" w:space="0" w:color="auto"/>
      </w:divBdr>
    </w:div>
    <w:div w:id="1620916308">
      <w:bodyDiv w:val="1"/>
      <w:marLeft w:val="0"/>
      <w:marRight w:val="0"/>
      <w:marTop w:val="0"/>
      <w:marBottom w:val="0"/>
      <w:divBdr>
        <w:top w:val="none" w:sz="0" w:space="0" w:color="auto"/>
        <w:left w:val="none" w:sz="0" w:space="0" w:color="auto"/>
        <w:bottom w:val="none" w:sz="0" w:space="0" w:color="auto"/>
        <w:right w:val="none" w:sz="0" w:space="0" w:color="auto"/>
      </w:divBdr>
    </w:div>
    <w:div w:id="1622571947">
      <w:bodyDiv w:val="1"/>
      <w:marLeft w:val="0"/>
      <w:marRight w:val="0"/>
      <w:marTop w:val="0"/>
      <w:marBottom w:val="0"/>
      <w:divBdr>
        <w:top w:val="none" w:sz="0" w:space="0" w:color="auto"/>
        <w:left w:val="none" w:sz="0" w:space="0" w:color="auto"/>
        <w:bottom w:val="none" w:sz="0" w:space="0" w:color="auto"/>
        <w:right w:val="none" w:sz="0" w:space="0" w:color="auto"/>
      </w:divBdr>
    </w:div>
    <w:div w:id="16550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usstats.abs.gov.au/ausstats/subscriber.nsf/0/367D3800605DB064CA2578B60013445C/$File/1244055001_2011.pd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abs.gov.au/websitedbs/censushome.nsf/home/communityprofiles?opendocument&amp;navpos=23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usstats.abs.gov.au/Ausstats/subscriber.nsf/0/87EA1D92F0BB437CCA25733F001F541D/$File/1352055086_jun%202007.pdf" TargetMode="External"/><Relationship Id="rId25" Type="http://schemas.openxmlformats.org/officeDocument/2006/relationships/hyperlink" Target="http://www.gstdistributionreview.gov.au/content/Content.aspx?doc=tor.htm" TargetMode="External"/><Relationship Id="rId2" Type="http://schemas.openxmlformats.org/officeDocument/2006/relationships/customXml" Target="../customXml/item2.xml"/><Relationship Id="rId16" Type="http://schemas.openxmlformats.org/officeDocument/2006/relationships/hyperlink" Target="http://www.ausstats.abs.gov.au/ausstats/subscriber.nsf/0/D729075E079F9FDECA2574170011B088/$File/20390_2006.pdf" TargetMode="External"/><Relationship Id="rId20" Type="http://schemas.openxmlformats.org/officeDocument/2006/relationships/hyperlink" Target="http://www.abs.gov.au/websitedbs/D3310114.nsf/home/Statistical+Geography+Explain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bs.gov.au/websitedbs/D3310114.nsf/4a256353001af3ed4b2562bb00121564/c453c497aadde71cca2576d300026a38/$FILE/ASGS%20Roadshow%20Presentation.pdf" TargetMode="External"/><Relationship Id="rId5" Type="http://schemas.openxmlformats.org/officeDocument/2006/relationships/settings" Target="settings.xml"/><Relationship Id="rId15" Type="http://schemas.openxmlformats.org/officeDocument/2006/relationships/hyperlink" Target="http://www.ausstats.abs.gov.au/ausstats/subscriber.nsf/0/C523F80A0B938ACBCA25790600138037/$File/1351055036_sep%202011.pdf" TargetMode="External"/><Relationship Id="rId23" Type="http://schemas.openxmlformats.org/officeDocument/2006/relationships/hyperlink" Target="http://www.cmd.act.gov.au/__data/assets/pdf_file/0005/298337/ACT_Targeted_Assistance_Strategy.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pa.org.au/upload/2004-4E_Kennedy.pdf"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dhcs.act.gov.au/__data/assets/pdf_file/0005/273551/Public_Housing_Asset_Management_Strategy.pdf"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Bak07</b:Tag>
    <b:SourceType>Report</b:SourceType>
    <b:Guid>{B775451D-63BA-4907-BFAE-0F85AC60EED7}</b:Guid>
    <b:Author>
      <b:Author>
        <b:NameList>
          <b:Person>
            <b:Last>Baker</b:Last>
            <b:First>J</b:First>
          </b:Person>
          <b:Person>
            <b:Last>Adhikari</b:Last>
            <b:First>P</b:First>
          </b:Person>
        </b:NameList>
      </b:Author>
    </b:Author>
    <b:Title>Socio-Economic Indexes for Individuals and Families</b:Title>
    <b:Year>2007</b:Year>
    <b:Publisher>Australian Bureau of Statistics</b:Publisher>
    <b:City>Canberra</b:City>
    <b:ThesisType>Methodology Advisory Commitee Papers</b:ThesisType>
    <b:StandardNumber>cat. no. 1352.0.55.086</b:StandardNumber>
    <b:RefOrder>5</b:RefOrder>
  </b:Source>
  <b:Source xmlns:b="http://schemas.openxmlformats.org/officeDocument/2006/bibliography" xmlns="http://schemas.openxmlformats.org/officeDocument/2006/bibliography">
    <b:Tag>Placeholder1</b:Tag>
    <b:RefOrder>6</b:RefOrder>
  </b:Source>
  <b:Source xmlns:b="http://schemas.openxmlformats.org/officeDocument/2006/bibliography" xmlns="http://schemas.openxmlformats.org/officeDocument/2006/bibliography">
    <b:Tag>Placeholder2</b:Tag>
    <b:RefOrder>7</b:RefOrder>
  </b:Source>
  <b:Source xmlns:b="http://schemas.openxmlformats.org/officeDocument/2006/bibliography" xmlns="http://schemas.openxmlformats.org/officeDocument/2006/bibliography">
    <b:Tag>Placeholder3</b:Tag>
    <b:RefOrder>8</b:RefOrder>
  </b:Source>
  <b:Source xmlns:b="http://schemas.openxmlformats.org/officeDocument/2006/bibliography" xmlns="http://schemas.openxmlformats.org/officeDocument/2006/bibliography">
    <b:Tag>KF2004</b:Tag>
    <b:RefOrder>9</b:RefOrder>
  </b:Source>
  <b:Source xmlns:b="http://schemas.openxmlformats.org/officeDocument/2006/bibliography" xmlns="http://schemas.openxmlformats.org/officeDocument/2006/bibliography">
    <b:Tag>WM2011</b:Tag>
    <b:RefOrder>1</b:RefOrder>
  </b:Source>
  <b:Source xmlns:b="http://schemas.openxmlformats.org/officeDocument/2006/bibliography" xmlns="http://schemas.openxmlformats.org/officeDocument/2006/bibliography">
    <b:Tag>AuthorCalculations</b:Tag>
    <b:RefOrder>10</b:RefOrder>
  </b:Source>
  <b:Source xmlns:b="http://schemas.openxmlformats.org/officeDocument/2006/bibliography" xmlns="http://schemas.openxmlformats.org/officeDocument/2006/bibliography">
    <b:Tag>SEIFIdataABS</b:Tag>
    <b:RefOrder>11</b:RefOrder>
  </b:Source>
  <b:Source xmlns:b="http://schemas.openxmlformats.org/officeDocument/2006/bibliography" xmlns="http://schemas.openxmlformats.org/officeDocument/2006/bibliography">
    <b:Tag>BurchBrief</b:Tag>
    <b:RefOrder>12</b:RefOrder>
  </b:Source>
  <b:Source xmlns:b="http://schemas.openxmlformats.org/officeDocument/2006/bibliography" xmlns="http://schemas.openxmlformats.org/officeDocument/2006/bibliography">
    <b:Tag>CGCch16</b:Tag>
    <b:RefOrder>13</b:RefOrder>
  </b:Source>
  <b:Source xmlns:b="http://schemas.openxmlformats.org/officeDocument/2006/bibliography" xmlns="http://schemas.openxmlformats.org/officeDocument/2006/bibliography">
    <b:Tag>NPALegalAssistance</b:Tag>
    <b:RefOrder>2</b:RefOrder>
  </b:Source>
  <b:Source xmlns:b="http://schemas.openxmlformats.org/officeDocument/2006/bibliography" xmlns="http://schemas.openxmlformats.org/officeDocument/2006/bibliography">
    <b:Tag>LegalAidACT200910Report</b:Tag>
    <b:RefOrder>14</b:RefOrder>
  </b:Source>
  <b:Source xmlns:b="http://schemas.openxmlformats.org/officeDocument/2006/bibliography" xmlns="http://schemas.openxmlformats.org/officeDocument/2006/bibliography">
    <b:Tag>LegalAidACT201011Report</b:Tag>
    <b:RefOrder>15</b:RefOrder>
  </b:Source>
  <b:Source xmlns:b="http://schemas.openxmlformats.org/officeDocument/2006/bibliography" xmlns="http://schemas.openxmlformats.org/officeDocument/2006/bibliography">
    <b:Tag>CGCch10</b:Tag>
    <b:RefOrder>16</b:RefOrder>
  </b:Source>
  <b:Source xmlns:b="http://schemas.openxmlformats.org/officeDocument/2006/bibliography" xmlns="http://schemas.openxmlformats.org/officeDocument/2006/bibliography">
    <b:Tag>SSNPLowSESFastFactsheet</b:Tag>
    <b:RefOrder>3</b:RefOrder>
  </b:Source>
  <b:Source xmlns:b="http://schemas.openxmlformats.org/officeDocument/2006/bibliography" xmlns="http://schemas.openxmlformats.org/officeDocument/2006/bibliography">
    <b:Tag>ACTSSNPFastFacts</b:Tag>
    <b:RefOrder>17</b:RefOrder>
  </b:Source>
  <b:Source xmlns:b="http://schemas.openxmlformats.org/officeDocument/2006/bibliography" xmlns="http://schemas.openxmlformats.org/officeDocument/2006/bibliography">
    <b:Tag>AllenConsultancySchoolsACT</b:Tag>
    <b:RefOrder>18</b:RefOrder>
  </b:Source>
  <b:Source xmlns:b="http://schemas.openxmlformats.org/officeDocument/2006/bibliography" xmlns="http://schemas.openxmlformats.org/officeDocument/2006/bibliography">
    <b:Tag>CGCch12PatientServices</b:Tag>
    <b:RefOrder>19</b:RefOrder>
  </b:Source>
  <b:Source xmlns:b="http://schemas.openxmlformats.org/officeDocument/2006/bibliography" xmlns="http://schemas.openxmlformats.org/officeDocument/2006/bibliography">
    <b:Tag>NPAPHChildrenACTImplPlan</b:Tag>
    <b:RefOrder>20</b:RefOrder>
  </b:Source>
  <b:Source xmlns:b="http://schemas.openxmlformats.org/officeDocument/2006/bibliography" xmlns="http://schemas.openxmlformats.org/officeDocument/2006/bibliography">
    <b:Tag>ACTHealthyChilInit2010to15</b:Tag>
    <b:RefOrder>21</b:RefOrder>
  </b:Source>
  <b:Source xmlns:b="http://schemas.openxmlformats.org/officeDocument/2006/bibliography" xmlns="http://schemas.openxmlformats.org/officeDocument/2006/bibliography">
    <b:Tag>ACTPHStratFrmWrk</b:Tag>
    <b:RefOrder>22</b:RefOrder>
  </b:Source>
  <b:Source xmlns:b="http://schemas.openxmlformats.org/officeDocument/2006/bibliography" xmlns="http://schemas.openxmlformats.org/officeDocument/2006/bibliography">
    <b:Tag>HealthSnapshotsACT</b:Tag>
    <b:RefOrder>23</b:RefOrder>
  </b:Source>
  <b:Source xmlns:b="http://schemas.openxmlformats.org/officeDocument/2006/bibliography" xmlns="http://schemas.openxmlformats.org/officeDocument/2006/bibliography">
    <b:Tag>TargetedAssistanceReport</b:Tag>
    <b:RefOrder>24</b:RefOrder>
  </b:Source>
  <b:Source xmlns:b="http://schemas.openxmlformats.org/officeDocument/2006/bibliography" xmlns="http://schemas.openxmlformats.org/officeDocument/2006/bibliography">
    <b:Tag>ABS2010MAUP</b:Tag>
    <b:RefOrder>25</b:RefOrder>
  </b:Source>
  <b:Source xmlns:b="http://schemas.openxmlformats.org/officeDocument/2006/bibliography" xmlns="http://schemas.openxmlformats.org/officeDocument/2006/bibliography">
    <b:Tag>PHStrategicFramework</b:Tag>
    <b:RefOrder>26</b:RefOrder>
  </b:Source>
  <b:Source xmlns:b="http://schemas.openxmlformats.org/officeDocument/2006/bibliography" xmlns="http://schemas.openxmlformats.org/officeDocument/2006/bibliography">
    <b:Tag>PersonalCommunicationwithLH</b:Tag>
    <b:RefOrder>27</b:RefOrder>
  </b:Source>
  <b:Source xmlns:b="http://schemas.openxmlformats.org/officeDocument/2006/bibliography" xmlns="http://schemas.openxmlformats.org/officeDocument/2006/bibliography">
    <b:Tag>AIHWmortalitystudy</b:Tag>
    <b:RefOrder>28</b:RefOrder>
  </b:Source>
  <b:Source xmlns:b="http://schemas.openxmlformats.org/officeDocument/2006/bibliography" xmlns="http://schemas.openxmlformats.org/officeDocument/2006/bibliography">
    <b:Tag>PubHousingStrategy</b:Tag>
    <b:RefOrder>29</b:RefOrder>
  </b:Source>
  <b:Source xmlns:b="http://schemas.openxmlformats.org/officeDocument/2006/bibliography" xmlns="http://schemas.openxmlformats.org/officeDocument/2006/bibliography">
    <b:Tag>NPALowSESSchools</b:Tag>
    <b:RefOrder>30</b:RefOrder>
  </b:Source>
  <b:Source xmlns:b="http://schemas.openxmlformats.org/officeDocument/2006/bibliography" xmlns="http://schemas.openxmlformats.org/officeDocument/2006/bibliography">
    <b:Tag>ACTSchoolCensus2009</b:Tag>
    <b:RefOrder>4</b:RefOrder>
  </b:Source>
  <b:Source xmlns:b="http://schemas.openxmlformats.org/officeDocument/2006/bibliography" xmlns="http://schemas.openxmlformats.org/officeDocument/2006/bibliography">
    <b:Tag>TowardsAHealthierACT</b:Tag>
    <b:RefOrder>31</b:RefOrder>
  </b:Source>
  <b:Source xmlns:b="http://schemas.openxmlformats.org/officeDocument/2006/bibliography" xmlns="http://schemas.openxmlformats.org/officeDocument/2006/bibliography">
    <b:Tag>ImproveWomensAccesstoHealth</b:Tag>
    <b:RefOrder>32</b:RefOrder>
  </b:Source>
  <b:Source xmlns:b="http://schemas.openxmlformats.org/officeDocument/2006/bibliography" xmlns="http://schemas.openxmlformats.org/officeDocument/2006/bibliography">
    <b:Tag>ACTChronicHealthStrat</b:Tag>
    <b:RefOrder>33</b:RefOrder>
  </b:Source>
  <b:Source xmlns:b="http://schemas.openxmlformats.org/officeDocument/2006/bibliography" xmlns="http://schemas.openxmlformats.org/officeDocument/2006/bibliography">
    <b:Tag>ACTChildrensPlan</b:Tag>
    <b:RefOrder>34</b:RefOrder>
  </b:Source>
  <b:Source xmlns:b="http://schemas.openxmlformats.org/officeDocument/2006/bibliography" xmlns="http://schemas.openxmlformats.org/officeDocument/2006/bibliography">
    <b:Tag>VulnerableFamilies</b:Tag>
    <b:RefOrder>35</b:RefOrder>
  </b:Source>
  <b:Source xmlns:b="http://schemas.openxmlformats.org/officeDocument/2006/bibliography" xmlns="http://schemas.openxmlformats.org/officeDocument/2006/bibliography">
    <b:Tag>CGCch13CommHealth</b:Tag>
    <b:RefOrder>36</b:RefOrder>
  </b:Source>
  <b:Source xmlns:b="http://schemas.openxmlformats.org/officeDocument/2006/bibliography" xmlns="http://schemas.openxmlformats.org/officeDocument/2006/bibliography">
    <b:Tag>MedicarePovertyFINDREF</b:Tag>
    <b:RefOrder>37</b:RefOrder>
  </b:Source>
  <b:Source xmlns:b="http://schemas.openxmlformats.org/officeDocument/2006/bibliography" xmlns="http://schemas.openxmlformats.org/officeDocument/2006/bibliography">
    <b:Tag>ClosingtheGapNP</b:Tag>
    <b:RefOrder>38</b:RefOrder>
  </b:Source>
  <b:Source xmlns:b="http://schemas.openxmlformats.org/officeDocument/2006/bibliography" xmlns="http://schemas.openxmlformats.org/officeDocument/2006/bibliography">
    <b:Tag>NPHealthyCommunities</b:Tag>
    <b:RefOrder>39</b:RefOrder>
  </b:Source>
  <b:Source xmlns:b="http://schemas.openxmlformats.org/officeDocument/2006/bibliography" xmlns="http://schemas.openxmlformats.org/officeDocument/2006/bibliography">
    <b:Tag>PGMGrantsFINDREF</b:Tag>
    <b:RefOrder>40</b:RefOrder>
  </b:Source>
  <b:Source xmlns:b="http://schemas.openxmlformats.org/officeDocument/2006/bibliography" xmlns="http://schemas.openxmlformats.org/officeDocument/2006/bibliography">
    <b:Tag>IGAScheduleDPayment</b:Tag>
    <b:RefOrder>41</b:RefOrder>
  </b:Source>
  <b:Source xmlns:b="http://schemas.openxmlformats.org/officeDocument/2006/bibliography" xmlns="http://schemas.openxmlformats.org/officeDocument/2006/bibliography">
    <b:Tag>ABS2011MeasuringSES</b:Tag>
    <b:RefOrder>42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A98CD-737C-45FF-B4A4-80D1BD15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16997</Words>
  <Characters>96889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Detecting Disadvantage in the ACT</vt:lpstr>
    </vt:vector>
  </TitlesOfParts>
  <Company>Hewlett-Packard</Company>
  <LinksUpToDate>false</LinksUpToDate>
  <CharactersWithSpaces>113659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Disadvantage in the ACT</dc:title>
  <dc:subject>Report on the comparative analysis of the SEIFI and SEIFA indexes of relative socio-economic disadvantage in the Australian Capital Territory</dc:subject>
  <dc:creator>Director, Social Policy and Implementation</dc:creator>
  <cp:lastModifiedBy>Claire Barbato</cp:lastModifiedBy>
  <cp:revision>7</cp:revision>
  <cp:lastPrinted>2012-11-02T23:33:00Z</cp:lastPrinted>
  <dcterms:created xsi:type="dcterms:W3CDTF">2013-04-17T02:30:00Z</dcterms:created>
  <dcterms:modified xsi:type="dcterms:W3CDTF">2013-06-03T04:35:00Z</dcterms:modified>
  <cp:category>Government Relations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Report on the comparative analysis of the SEIFI and SEIFA indexes of relative socio-economic disadvantage in the Australian Capital Territory</vt:lpwstr>
  </property>
  <property fmtid="{D5CDD505-2E9C-101B-9397-08002B2CF9AE}" pid="3" name="Publisher">
    <vt:lpwstr>ACT Government</vt:lpwstr>
  </property>
  <property fmtid="{D5CDD505-2E9C-101B-9397-08002B2CF9AE}" pid="4" name="Function">
    <vt:lpwstr>Government Relations</vt:lpwstr>
  </property>
</Properties>
</file>